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002D18C3">
        <w:rPr>
          <w:rFonts w:eastAsia="Cambria" w:cstheme="minorHAnsi"/>
          <w:b/>
          <w:bCs/>
          <w:spacing w:val="-1"/>
          <w:sz w:val="24"/>
          <w:szCs w:val="24"/>
        </w:rPr>
        <w:t>1</w:t>
      </w:r>
      <w:r w:rsidRPr="00094532">
        <w:rPr>
          <w:rFonts w:eastAsia="Cambria" w:cstheme="minorHAnsi"/>
          <w:b/>
          <w:bCs/>
          <w:spacing w:val="1"/>
          <w:sz w:val="24"/>
          <w:szCs w:val="24"/>
        </w:rPr>
        <w:t>/</w:t>
      </w:r>
      <w:r w:rsidRPr="00094532">
        <w:rPr>
          <w:rFonts w:eastAsia="Cambria" w:cstheme="minorHAnsi"/>
          <w:b/>
          <w:bCs/>
          <w:spacing w:val="-1"/>
          <w:sz w:val="24"/>
          <w:szCs w:val="24"/>
        </w:rPr>
        <w:t>20</w:t>
      </w:r>
      <w:r w:rsidR="003B403B">
        <w:rPr>
          <w:rFonts w:eastAsia="Cambria" w:cstheme="minorHAnsi"/>
          <w:b/>
          <w:bCs/>
          <w:spacing w:val="-1"/>
          <w:sz w:val="24"/>
          <w:szCs w:val="24"/>
        </w:rPr>
        <w:t>20</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2D18C3" w:rsidRDefault="00AE6465" w:rsidP="00AE6465">
      <w:pPr>
        <w:spacing w:line="241" w:lineRule="auto"/>
        <w:ind w:left="631" w:right="636"/>
        <w:jc w:val="center"/>
        <w:rPr>
          <w:rFonts w:eastAsia="Cambria" w:cstheme="minorHAnsi"/>
          <w:sz w:val="24"/>
          <w:szCs w:val="24"/>
        </w:rPr>
      </w:pPr>
      <w:r w:rsidRPr="002D18C3">
        <w:rPr>
          <w:rFonts w:eastAsia="Cambria" w:cstheme="minorHAnsi"/>
          <w:sz w:val="24"/>
          <w:szCs w:val="24"/>
        </w:rPr>
        <w:t>PRZEDSIĘWZ</w:t>
      </w:r>
      <w:r w:rsidRPr="002D18C3">
        <w:rPr>
          <w:rFonts w:eastAsia="Cambria" w:cstheme="minorHAnsi"/>
          <w:spacing w:val="-1"/>
          <w:sz w:val="24"/>
          <w:szCs w:val="24"/>
        </w:rPr>
        <w:t>I</w:t>
      </w:r>
      <w:r w:rsidRPr="002D18C3">
        <w:rPr>
          <w:rFonts w:eastAsia="Cambria" w:cstheme="minorHAnsi"/>
          <w:sz w:val="24"/>
          <w:szCs w:val="24"/>
        </w:rPr>
        <w:t>Ę</w:t>
      </w:r>
      <w:r w:rsidRPr="002D18C3">
        <w:rPr>
          <w:rFonts w:eastAsia="Cambria" w:cstheme="minorHAnsi"/>
          <w:spacing w:val="-1"/>
          <w:sz w:val="24"/>
          <w:szCs w:val="24"/>
        </w:rPr>
        <w:t>CI</w:t>
      </w:r>
      <w:r w:rsidRPr="002D18C3">
        <w:rPr>
          <w:rFonts w:eastAsia="Cambria" w:cstheme="minorHAnsi"/>
          <w:sz w:val="24"/>
          <w:szCs w:val="24"/>
        </w:rPr>
        <w:t xml:space="preserve">E </w:t>
      </w:r>
      <w:r w:rsidR="002D18C3" w:rsidRPr="002D18C3">
        <w:rPr>
          <w:rFonts w:ascii="Calibri" w:hAnsi="Calibri"/>
          <w:b/>
          <w:iCs/>
          <w:sz w:val="24"/>
          <w:szCs w:val="24"/>
        </w:rPr>
        <w:t>II.2.1. Wzrost potencjału tur</w:t>
      </w:r>
      <w:r w:rsidR="002D18C3" w:rsidRPr="002D18C3">
        <w:rPr>
          <w:rFonts w:ascii="Calibri" w:hAnsi="Calibri"/>
          <w:b/>
          <w:iCs/>
          <w:sz w:val="24"/>
          <w:szCs w:val="24"/>
        </w:rPr>
        <w:t>y</w:t>
      </w:r>
      <w:r w:rsidR="002D18C3" w:rsidRPr="002D18C3">
        <w:rPr>
          <w:rFonts w:ascii="Calibri" w:hAnsi="Calibri"/>
          <w:b/>
          <w:iCs/>
          <w:sz w:val="24"/>
          <w:szCs w:val="24"/>
        </w:rPr>
        <w:t>stycznego LGD</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2D18C3" w:rsidRDefault="00C64A02" w:rsidP="00417D87">
      <w:pPr>
        <w:autoSpaceDE w:val="0"/>
        <w:autoSpaceDN w:val="0"/>
        <w:adjustRightInd w:val="0"/>
        <w:spacing w:after="0"/>
        <w:jc w:val="center"/>
        <w:rPr>
          <w:rFonts w:eastAsiaTheme="minorHAnsi" w:cstheme="minorHAnsi"/>
          <w:sz w:val="24"/>
          <w:szCs w:val="24"/>
          <w:lang w:eastAsia="en-US"/>
        </w:rPr>
      </w:pPr>
      <w:r w:rsidRPr="002D18C3">
        <w:rPr>
          <w:rFonts w:eastAsiaTheme="minorHAnsi" w:cstheme="minorHAnsi"/>
          <w:sz w:val="24"/>
          <w:szCs w:val="24"/>
          <w:lang w:eastAsia="en-US"/>
        </w:rPr>
        <w:t xml:space="preserve">Typ projektu </w:t>
      </w:r>
      <w:r w:rsidR="003B403B" w:rsidRPr="002D18C3">
        <w:rPr>
          <w:rFonts w:eastAsia="Times New Roman" w:cs="Calibri"/>
          <w:color w:val="000000"/>
          <w:sz w:val="24"/>
          <w:szCs w:val="24"/>
        </w:rPr>
        <w:t>nr</w:t>
      </w:r>
      <w:r w:rsidR="003B403B" w:rsidRPr="002D18C3">
        <w:rPr>
          <w:rFonts w:eastAsia="Times New Roman" w:cs="Calibri"/>
          <w:b/>
          <w:color w:val="000000"/>
          <w:sz w:val="24"/>
          <w:szCs w:val="24"/>
        </w:rPr>
        <w:t xml:space="preserve"> </w:t>
      </w:r>
      <w:r w:rsidR="002D18C3" w:rsidRPr="002D18C3">
        <w:rPr>
          <w:rFonts w:eastAsia="Times New Roman" w:cs="Calibri"/>
          <w:b/>
          <w:color w:val="000000"/>
          <w:sz w:val="24"/>
          <w:szCs w:val="24"/>
        </w:rPr>
        <w:t>5</w:t>
      </w:r>
      <w:r w:rsidR="003B403B" w:rsidRPr="002D18C3">
        <w:rPr>
          <w:rFonts w:eastAsia="Times New Roman" w:cs="Calibri"/>
          <w:b/>
          <w:color w:val="000000"/>
          <w:sz w:val="24"/>
          <w:szCs w:val="24"/>
        </w:rPr>
        <w:t xml:space="preserve">:  </w:t>
      </w:r>
      <w:r w:rsidR="002D18C3" w:rsidRPr="002D18C3">
        <w:rPr>
          <w:rFonts w:cs="Calibri"/>
          <w:b/>
          <w:spacing w:val="-2"/>
          <w:sz w:val="24"/>
          <w:szCs w:val="24"/>
        </w:rPr>
        <w:t>Ochrona bioróżnorodności i klimatu</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9434A4"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9434A4" w:rsidRPr="009434A4" w:rsidRDefault="009434A4" w:rsidP="009434A4">
      <w:pPr>
        <w:pStyle w:val="Akapitzlist"/>
        <w:numPr>
          <w:ilvl w:val="0"/>
          <w:numId w:val="110"/>
        </w:numPr>
        <w:autoSpaceDE w:val="0"/>
        <w:autoSpaceDN w:val="0"/>
        <w:adjustRightInd w:val="0"/>
        <w:spacing w:after="0" w:line="240" w:lineRule="auto"/>
        <w:ind w:left="567" w:hanging="207"/>
        <w:rPr>
          <w:rFonts w:eastAsiaTheme="minorHAnsi" w:cstheme="minorHAnsi"/>
          <w:color w:val="000000"/>
          <w:sz w:val="24"/>
          <w:szCs w:val="24"/>
          <w:lang w:eastAsia="en-US"/>
        </w:rPr>
      </w:pPr>
      <w:r w:rsidRPr="009434A4">
        <w:rPr>
          <w:rFonts w:eastAsiaTheme="minorHAnsi" w:cstheme="minorHAnsi"/>
          <w:i/>
          <w:iCs/>
          <w:color w:val="000000"/>
          <w:sz w:val="24"/>
          <w:szCs w:val="24"/>
          <w:lang w:eastAsia="en-US"/>
        </w:rPr>
        <w:t xml:space="preserve">Ustawa z dnia 20 lipca 2017 r. Prawo wodne; </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r w:rsidR="009434A4">
        <w:rPr>
          <w:rFonts w:cstheme="minorHAnsi"/>
          <w:iCs/>
          <w:sz w:val="24"/>
          <w:szCs w:val="24"/>
        </w:rPr>
        <w:t>OOŚ</w:t>
      </w:r>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r w:rsidR="00F84765">
        <w:rPr>
          <w:rFonts w:cstheme="minorHAnsi"/>
          <w:iCs/>
          <w:sz w:val="24"/>
          <w:szCs w:val="24"/>
        </w:rPr>
        <w:t>OOŚ</w:t>
      </w:r>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Pr="00094532" w:rsidRDefault="00DD59B0" w:rsidP="004B2D5A">
      <w:pPr>
        <w:spacing w:after="240" w:line="240" w:lineRule="auto"/>
        <w:ind w:left="720"/>
        <w:jc w:val="both"/>
        <w:rPr>
          <w:rFonts w:cstheme="minorHAnsi"/>
          <w:b/>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Pr="00094532"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D59B0" w:rsidRPr="00094532" w:rsidRDefault="00DD59B0" w:rsidP="004B2D5A">
      <w:pPr>
        <w:spacing w:after="120" w:line="240" w:lineRule="auto"/>
        <w:jc w:val="both"/>
        <w:rPr>
          <w:rFonts w:cstheme="minorHAnsi"/>
          <w:sz w:val="24"/>
          <w:szCs w:val="24"/>
        </w:rPr>
      </w:pPr>
      <w:r w:rsidRPr="00094532">
        <w:rPr>
          <w:rFonts w:cstheme="minorHAnsi"/>
          <w:sz w:val="24"/>
          <w:szCs w:val="24"/>
        </w:rPr>
        <w:t>Nie jest wymagane przygotowanie pełnej analizy finansowej i ekonomicznej projektu, a także obliczanie wskaźników właściwych dla pełnej analizy.</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Przy opracowaniu części finansowej można się posłużyć: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Wytycznymi Ministra Infrastruktury i Rozwoju w zakresie zagadnień związanych z przygotowaniem projektów inwestycyjnych, w tym projektów generujących dochód i projektów hybrydowych na lata 2014-2020,</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Podręcznikiem Analiza kosztów i korzyści projektów inwestycyjnych: Przewodnik AKK (Fundusz Strukturalny, Fundusz Spójności i ISPA) (Komisja Europejska, 1997 r.),</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obowiązującymi przepisami i zasadami rachunkowości,</w:t>
      </w:r>
    </w:p>
    <w:p w:rsidR="00DD59B0" w:rsidRPr="00094532" w:rsidRDefault="00DD59B0" w:rsidP="006A443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ogólnie przyjętymi metodami analiz finansowych i ekonomicznych.</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700CC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lastRenderedPageBreak/>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521362"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model finansowy, zawierający tabele oraz wyliczenia (wersja papierowa oraz wersja elektroniczna w formie aktywnego arkusza kalkulacyjnego np. w formacie .xls).</w:t>
      </w:r>
    </w:p>
    <w:p w:rsidR="00416D82" w:rsidRPr="00094532" w:rsidRDefault="00416D82" w:rsidP="00416D82">
      <w:pPr>
        <w:pStyle w:val="Akapitzlist"/>
        <w:spacing w:after="120" w:line="240" w:lineRule="auto"/>
        <w:jc w:val="both"/>
        <w:rPr>
          <w:rFonts w:cstheme="minorHAnsi"/>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w:t>
      </w:r>
      <w:r w:rsidRPr="00094532">
        <w:rPr>
          <w:rFonts w:cstheme="minorHAnsi"/>
          <w:sz w:val="24"/>
          <w:szCs w:val="24"/>
        </w:rPr>
        <w:lastRenderedPageBreak/>
        <w:t>(jednostka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 xml:space="preserve">Oświadczenie o przetwarzaniu swoich danych osobowych zawartych </w:t>
      </w:r>
      <w:r w:rsidRPr="00094532">
        <w:rPr>
          <w:rFonts w:cstheme="minorHAnsi"/>
          <w:i/>
          <w:sz w:val="24"/>
          <w:szCs w:val="24"/>
        </w:rPr>
        <w:br/>
        <w:t xml:space="preserve">w dokumentacji aplikacyjnej do celów związanych z oceną i realizacją projektu, zgodnie </w:t>
      </w:r>
      <w:r w:rsidRPr="00094532">
        <w:rPr>
          <w:rFonts w:cstheme="minorHAnsi"/>
          <w:i/>
          <w:sz w:val="24"/>
          <w:szCs w:val="24"/>
        </w:rPr>
        <w:br/>
        <w:t>z Ustawą z dnia 29 sierpnia 1997 o ochronie danych osobowych (Dz. U. z 2016r., poz. 922, j.t)i udostępnienie ich instytucjom i podmiotom dokonującym oceny, monitoringu, audytu, kontroli oraz instytucjom i podmiotom realizującym badania na zlecenie IZ/IP</w:t>
      </w:r>
      <w:r w:rsidRPr="00094532">
        <w:rPr>
          <w:rFonts w:cstheme="minorHAnsi"/>
          <w:sz w:val="24"/>
          <w:szCs w:val="24"/>
        </w:rPr>
        <w:br/>
        <w:t>w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lastRenderedPageBreak/>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9F6EF6">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2D18C3">
          <w:rPr>
            <w:rFonts w:cstheme="minorHAnsi"/>
            <w:noProof/>
            <w:sz w:val="20"/>
            <w:szCs w:val="20"/>
          </w:rPr>
          <w:t>15</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9E6095" w:rsidRDefault="00F46DCF" w:rsidP="002C7472">
      <w:pPr>
        <w:pStyle w:val="Tekstprzypisudolnego"/>
        <w:jc w:val="both"/>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2C7472">
      <w:pPr>
        <w:pStyle w:val="Tekstprzypisudolnego"/>
        <w:jc w:val="both"/>
      </w:pPr>
      <w:r>
        <w:rPr>
          <w:rStyle w:val="Odwoanieprzypisudolnego"/>
        </w:rPr>
        <w:footnoteRef/>
      </w:r>
      <w:r w:rsidR="002C7472">
        <w:rPr>
          <w:rFonts w:ascii="Times New Roman" w:hAnsi="Times New Roman" w:cs="Times New Roman"/>
        </w:rP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4C47"/>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6B8B"/>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18C3"/>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403B"/>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1B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5C5"/>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0EEB"/>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23F"/>
    <w:rsid w:val="0093224B"/>
    <w:rsid w:val="00932857"/>
    <w:rsid w:val="00933765"/>
    <w:rsid w:val="00934216"/>
    <w:rsid w:val="00934326"/>
    <w:rsid w:val="00935C0A"/>
    <w:rsid w:val="00937193"/>
    <w:rsid w:val="00937EEA"/>
    <w:rsid w:val="009434A4"/>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6DB"/>
    <w:rsid w:val="009E7FD5"/>
    <w:rsid w:val="009F0216"/>
    <w:rsid w:val="009F05FE"/>
    <w:rsid w:val="009F16ED"/>
    <w:rsid w:val="009F1A31"/>
    <w:rsid w:val="009F31AE"/>
    <w:rsid w:val="009F4581"/>
    <w:rsid w:val="009F4922"/>
    <w:rsid w:val="009F4F06"/>
    <w:rsid w:val="009F6EF6"/>
    <w:rsid w:val="00A02812"/>
    <w:rsid w:val="00A056FE"/>
    <w:rsid w:val="00A0752F"/>
    <w:rsid w:val="00A106E0"/>
    <w:rsid w:val="00A12238"/>
    <w:rsid w:val="00A145DB"/>
    <w:rsid w:val="00A17CE3"/>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94C"/>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38E"/>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1F8"/>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765"/>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2591-33CA-4FCF-828D-9DCBF2A6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6577</Words>
  <Characters>39466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15</cp:revision>
  <cp:lastPrinted>2017-01-31T08:56:00Z</cp:lastPrinted>
  <dcterms:created xsi:type="dcterms:W3CDTF">2018-04-27T10:34:00Z</dcterms:created>
  <dcterms:modified xsi:type="dcterms:W3CDTF">2020-02-12T10:26:00Z</dcterms:modified>
</cp:coreProperties>
</file>