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25CEC">
        <w:rPr>
          <w:rFonts w:ascii="Times New Roman" w:hAnsi="Times New Roman"/>
          <w:b/>
          <w:sz w:val="24"/>
          <w:szCs w:val="24"/>
        </w:rPr>
        <w:t>1</w:t>
      </w:r>
      <w:r w:rsidR="002C0F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2C0F2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/2019</w:t>
      </w:r>
      <w:r w:rsidR="00082307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Załączniki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EF6C4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C4A" w:rsidRPr="00D4251C" w:rsidRDefault="00EF6C4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6C4A" w:rsidRPr="00D20240" w:rsidRDefault="00EF6C4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240">
              <w:rPr>
                <w:rFonts w:asciiTheme="minorHAnsi" w:hAnsiTheme="minorHAnsi"/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z dnia 6 marca 2018 r. - Prawo przedsiębiorców</w:t>
            </w:r>
            <w:r w:rsidRPr="00D20240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EF6C4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C4A" w:rsidRPr="00D4251C" w:rsidRDefault="00EF6C4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6C4A" w:rsidRPr="00D20240" w:rsidRDefault="00EF6C4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0240">
              <w:rPr>
                <w:rFonts w:asciiTheme="minorHAnsi" w:hAnsiTheme="minorHAnsi"/>
                <w:sz w:val="18"/>
                <w:szCs w:val="18"/>
              </w:rPr>
              <w:t>Miejsce wykonywania działalności gospodarczej, oznaczone adresem wpisanym do Centralnej Ewidencji i Informacji o Działalności Gospodarczej, znajduje się na obszarze wiejskim objętym LSR - w przypadku gdy osoba fizyczna wykonuje działalność gospodarczą, do której stosuje się przepisy ustawy z dnia 6 marca 2018 r. - Prawo przedsiębiorców, a w przypadku braku takiego wpisu, jeżeli miejsce zamieszkania takiej osoby znajduje się na obszarze wiejskim objętym LSR</w:t>
            </w:r>
            <w:r w:rsidRPr="00D20240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dotyczy podejmowania działalności gospodarczej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(§ 3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lit.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a–c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określone w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jącymi działalność gospodarczą na obszarze wiejskim objętym LSR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W przypadku gdy operacja w zakresie określonym w § 2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2 lit. c rozporządzenia LSR będzie realizowana w ramach wykonywania działalności gospodarczej w formie spółki cywilnej, warunki określone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ków tej spółki. Warunek, o którym mowa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jest spełniony, jeżeli każdy ze wspólników spółki cywilnej wykonywał działalność gospodarczą w formie spółki cywilnej lub we własnym imieniu przez okres wskazany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046D26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Pr="00D20240">
              <w:rPr>
                <w:rFonts w:asciiTheme="minorHAnsi" w:hAnsiTheme="minorHAnsi"/>
                <w:b/>
                <w:sz w:val="20"/>
                <w:szCs w:val="20"/>
              </w:rPr>
              <w:t>z dnia 6 marca 2018 r. - Prawo przedsiębiorców</w:t>
            </w:r>
            <w:r w:rsidRPr="00D2024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mikroprzedsiębiorstwo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określonym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ymi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będzie realizowana w nie więcej niż w 2 etapach, a wykonanie zakresu rzeczowego, zgodnie z zestawieniem rzeczowo-finansowym operacji, w tym poniesienie przez beneficjenta kosztów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kwalifikowalnych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Wnioskodawca, realizujący operację w zakresie innym niż określony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nem (nie dotyczy operacji  realizowanej wyłącznie w zakresie określonym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przepisy ustawy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,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w szczególności nie był wpisany do Centralnej Ewidencji i Informacji o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23683D"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ustawy 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jej wykonywanie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</w:t>
            </w:r>
          </w:p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lastRenderedPageBreak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batorów, w przypadku gdy operacja będzie realizowana w zakresie określonym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siębiorstwa spożywcze w rozumieniu art. 3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ustawy 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utrzymanie miejsc pracy, w tym miejsc pracy, które zostaną utw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rzone w ramach realizacji operacji, do dnia, w którym upłynie 3 lata od dnia wypłaty płatności końcowej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rozwoju przedsiębiorczości na obszarze wiejskim objętym LSR w zakresie określonym w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podnoszenia kompetencji osób realizujących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ubiega się jednocześnie o przyznanie pomocy na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operacji polegających na budowie lub modernizacji targowisk objętych zakresem wsparcia w ramach działania,     o którym mowa w art. 3 ust. 1 </w:t>
            </w:r>
            <w:proofErr w:type="spellStart"/>
            <w:r w:rsidRPr="00A53BC0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A53BC0">
              <w:rPr>
                <w:rFonts w:asciiTheme="minorHAnsi" w:hAnsiTheme="minorHAnsi"/>
                <w:sz w:val="20"/>
                <w:szCs w:val="20"/>
              </w:rPr>
              <w:t xml:space="preserve">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2C0F2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2C0F2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ganizowane więcej niż jeden raz oraz poświęcone przynajmniej w części tej samej 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2C0F21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2C0F21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…………………………………………………..</w:t>
            </w:r>
          </w:p>
          <w:p w:rsidR="001B37F4" w:rsidRDefault="001B37F4" w:rsidP="002C0F21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2C0F21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6 marca 2018 r. – Prawo Przedsiębiorców (Dz. U. poz. 646 z </w:t>
            </w:r>
            <w:proofErr w:type="spellStart"/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 „Wsparcie na wdrażanie operacji w ramach strategii rozwoju lokalnego kierowanego przez społeczność” objętego Programem Rozwoju Obszarów Wiejskich na lata 2014-2020 (Dz. U. z 2017 r., poz. 772 i 1588)</w:t>
            </w:r>
          </w:p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A429DA" w:rsidRPr="008B0366" w:rsidRDefault="00A429DA" w:rsidP="002C0F21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A53BC0" w:rsidRDefault="00A429DA" w:rsidP="002C0F21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go Europejski Urząd ds. Bezpieczeństwa Żywności oraz ustanawiającego procedury w zakresie bezpieczeństwa żywności (Dz. Urz. WE L 31 z 01.02.2002, str. 1,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zm.; Dz. Urz. UE Polskie wydanie  specjalne, rozdz. 15, t. 6, str. 463,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1543CA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046D26" w:rsidRPr="009C3218" w:rsidRDefault="00046D26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046D26" w:rsidRPr="008B0366" w:rsidRDefault="00046D26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046D26" w:rsidRDefault="00046D26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1562CF">
        <w:rPr>
          <w:rFonts w:cs="Arial"/>
          <w:b/>
        </w:rPr>
        <w:t>2</w:t>
      </w:r>
      <w:r w:rsidR="001B7496">
        <w:rPr>
          <w:rFonts w:cs="Arial"/>
          <w:b/>
        </w:rPr>
        <w:t>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1B7496">
        <w:rPr>
          <w:rFonts w:cs="Arial"/>
          <w:b/>
        </w:rPr>
        <w:t>3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1"/>
        <w:gridCol w:w="323"/>
        <w:gridCol w:w="544"/>
        <w:gridCol w:w="2662"/>
        <w:gridCol w:w="415"/>
        <w:gridCol w:w="2414"/>
        <w:gridCol w:w="1348"/>
        <w:gridCol w:w="1798"/>
      </w:tblGrid>
      <w:tr w:rsidR="00F323B2" w:rsidRPr="003C745A" w:rsidTr="00F323B2">
        <w:trPr>
          <w:trHeight w:hRule="exact" w:val="2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F323B2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F323B2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3dni robocze przed upływem terminu przyjmowania wniosków</w:t>
            </w:r>
          </w:p>
          <w:p w:rsidR="001562CF" w:rsidRPr="001562CF" w:rsidRDefault="001562CF" w:rsidP="00F323B2">
            <w:pPr>
              <w:spacing w:after="60" w:line="240" w:lineRule="auto"/>
              <w:ind w:left="96" w:right="196"/>
              <w:jc w:val="both"/>
              <w:rPr>
                <w:sz w:val="12"/>
                <w:szCs w:val="18"/>
              </w:rPr>
            </w:pP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1562CF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LGD</w:t>
            </w:r>
            <w:r w:rsidR="00F323B2" w:rsidRPr="006E0157">
              <w:rPr>
                <w:sz w:val="18"/>
                <w:szCs w:val="18"/>
              </w:rPr>
              <w:t xml:space="preserve"> (np. ka</w:t>
            </w:r>
            <w:r w:rsidR="00F323B2" w:rsidRPr="006E0157">
              <w:rPr>
                <w:sz w:val="18"/>
                <w:szCs w:val="18"/>
              </w:rPr>
              <w:t>r</w:t>
            </w:r>
            <w:r w:rsidR="00F323B2" w:rsidRPr="006E0157">
              <w:rPr>
                <w:sz w:val="18"/>
                <w:szCs w:val="18"/>
              </w:rPr>
              <w:t>ta doradztwa)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1B7496" w:rsidP="001B7496">
            <w:pPr>
              <w:spacing w:after="0" w:line="240" w:lineRule="auto"/>
              <w:jc w:val="center"/>
              <w:rPr>
                <w:rFonts w:cs="Arial"/>
              </w:rPr>
            </w:pPr>
            <w:r w:rsidRPr="001B7496">
              <w:rPr>
                <w:b/>
              </w:rPr>
              <w:t>V. Wspieranie współpracy między podmiotami prowadzącymi działalnoś</w:t>
            </w:r>
            <w:r>
              <w:rPr>
                <w:b/>
              </w:rPr>
              <w:t>ć</w:t>
            </w:r>
            <w:r w:rsidRPr="001B7496">
              <w:rPr>
                <w:b/>
              </w:rPr>
              <w:t xml:space="preserve"> gospodarczą</w:t>
            </w:r>
          </w:p>
        </w:tc>
      </w:tr>
      <w:tr w:rsidR="00F323B2" w:rsidRPr="00613FF7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t>V.1. Liczba podmiotów zaangażowanych w realizację</w:t>
            </w:r>
          </w:p>
          <w:p w:rsidR="001562CF" w:rsidRDefault="001B7496" w:rsidP="001B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t>operacji</w:t>
            </w:r>
            <w:r w:rsidRPr="001B7496">
              <w:rPr>
                <w:b/>
                <w:bCs/>
                <w:sz w:val="18"/>
                <w:szCs w:val="18"/>
              </w:rPr>
              <w:cr/>
            </w:r>
          </w:p>
          <w:p w:rsidR="00F323B2" w:rsidRPr="00E90D56" w:rsidRDefault="001B7496" w:rsidP="001B7496">
            <w:pPr>
              <w:spacing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 realizowane wspólnie przez większą iloś</w:t>
            </w:r>
            <w:r>
              <w:rPr>
                <w:sz w:val="18"/>
                <w:szCs w:val="18"/>
              </w:rPr>
              <w:t>ć</w:t>
            </w:r>
            <w:r w:rsidRPr="001B7496">
              <w:rPr>
                <w:sz w:val="18"/>
                <w:szCs w:val="18"/>
              </w:rPr>
              <w:t xml:space="preserve"> podmiotów niż dwa. Kryterium ma na celu zwiększenie ilości po</w:t>
            </w:r>
            <w:r w:rsidRPr="001B7496">
              <w:rPr>
                <w:sz w:val="18"/>
                <w:szCs w:val="18"/>
              </w:rPr>
              <w:t>d</w:t>
            </w:r>
            <w:r w:rsidRPr="001B7496">
              <w:rPr>
                <w:sz w:val="18"/>
                <w:szCs w:val="18"/>
              </w:rPr>
              <w:t>miotów wspólnie realizujących operacje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4 podmioty realizujące operację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3 podmioty realizujące operację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3C745A" w:rsidRDefault="001B7496" w:rsidP="001B7496">
            <w:r w:rsidRPr="001B7496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2 podmioty realizujące operację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Załączone przez wnioskodawcę do wniosku o przyznanie pomocy porozumienie o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współpracy – oryginał lub kopia poświadczona za zgodnoś</w:t>
            </w:r>
            <w:r>
              <w:rPr>
                <w:sz w:val="18"/>
                <w:szCs w:val="18"/>
              </w:rPr>
              <w:t>ć</w:t>
            </w:r>
            <w:r w:rsidRPr="001B7496">
              <w:rPr>
                <w:sz w:val="18"/>
                <w:szCs w:val="18"/>
              </w:rPr>
              <w:t xml:space="preserve"> z oryginałem przez</w:t>
            </w:r>
          </w:p>
          <w:p w:rsidR="00F323B2" w:rsidRPr="003C745A" w:rsidRDefault="001B7496" w:rsidP="001B7496">
            <w:pPr>
              <w:spacing w:after="0" w:line="240" w:lineRule="auto"/>
            </w:pPr>
            <w:r w:rsidRPr="001B7496">
              <w:rPr>
                <w:sz w:val="18"/>
                <w:szCs w:val="18"/>
              </w:rPr>
              <w:t>pracownika LGD lub notariusza.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t>V.2. W wyniku realizacji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B7496">
              <w:rPr>
                <w:b/>
                <w:bCs/>
                <w:sz w:val="18"/>
                <w:szCs w:val="18"/>
              </w:rPr>
              <w:t>operacji powstanie nowy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B7496">
              <w:rPr>
                <w:b/>
                <w:bCs/>
                <w:sz w:val="18"/>
                <w:szCs w:val="18"/>
              </w:rPr>
              <w:t>produkt tur</w:t>
            </w:r>
            <w:r w:rsidRPr="001B7496">
              <w:rPr>
                <w:b/>
                <w:bCs/>
                <w:sz w:val="18"/>
                <w:szCs w:val="18"/>
              </w:rPr>
              <w:t>y</w:t>
            </w:r>
            <w:r w:rsidRPr="001B7496">
              <w:rPr>
                <w:b/>
                <w:bCs/>
                <w:sz w:val="18"/>
                <w:szCs w:val="18"/>
              </w:rPr>
              <w:t>styczny</w:t>
            </w:r>
          </w:p>
          <w:p w:rsidR="001B7496" w:rsidRDefault="001B7496" w:rsidP="001B749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219E3" w:rsidRPr="006E0157" w:rsidRDefault="001B7496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operacje, w wyniku których powstanie nowy produkt turystyczny.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Przez nowy produkt turystyczny rozumie się zintegr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waną pod wspólną marką (znakiem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towarowym) ofertę handlową odnoszącą się do produktów lub usług w obszarze turystycznym zlokalizowanych na terenie LGD „PB”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–</w:t>
            </w:r>
            <w:r w:rsidRPr="001B7496">
              <w:rPr>
                <w:sz w:val="18"/>
                <w:szCs w:val="18"/>
              </w:rPr>
              <w:t>zostanie utworzony nowy pr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dukt turystyczny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7496" w:rsidRP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– </w:t>
            </w:r>
            <w:r w:rsidRPr="001B7496">
              <w:rPr>
                <w:sz w:val="18"/>
                <w:szCs w:val="18"/>
              </w:rPr>
              <w:t>nie zostanie utworzony nowy</w:t>
            </w: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produkt turystyczny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LSR.</w:t>
            </w:r>
          </w:p>
          <w:p w:rsidR="00F323B2" w:rsidRPr="00E340B3" w:rsidRDefault="001B7496" w:rsidP="001B7496">
            <w:pPr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Porozumienie podmiotów o wspó</w:t>
            </w:r>
            <w:r w:rsidRPr="001B7496">
              <w:rPr>
                <w:sz w:val="18"/>
                <w:szCs w:val="18"/>
              </w:rPr>
              <w:t>l</w:t>
            </w:r>
            <w:r w:rsidRPr="001B7496">
              <w:rPr>
                <w:sz w:val="18"/>
                <w:szCs w:val="18"/>
              </w:rPr>
              <w:t>nej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realizacji operacji.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B7496" w:rsidP="001562C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lastRenderedPageBreak/>
              <w:t>V.3. Innowacyjność operacji</w:t>
            </w:r>
          </w:p>
          <w:p w:rsidR="001B7496" w:rsidRDefault="001B7496" w:rsidP="001562CF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Pr="003219E3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 innowacyjne. Przez innowacyjność należy rozumieć zastosowanie lub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wprowadzenie nowych lub ulepszonych produktów, procesów (technologii), metod organizacji lub mark</w:t>
            </w:r>
            <w:r w:rsidRPr="001B7496">
              <w:rPr>
                <w:sz w:val="18"/>
                <w:szCs w:val="18"/>
              </w:rPr>
              <w:t>e</w:t>
            </w:r>
            <w:r w:rsidRPr="001B7496">
              <w:rPr>
                <w:sz w:val="18"/>
                <w:szCs w:val="18"/>
              </w:rPr>
              <w:t>tingu poprzez praktyczne wykorzystanie unikalnych i charakter</w:t>
            </w:r>
            <w:r w:rsidRPr="001B7496">
              <w:rPr>
                <w:sz w:val="18"/>
                <w:szCs w:val="18"/>
              </w:rPr>
              <w:t>y</w:t>
            </w:r>
            <w:r w:rsidRPr="001B7496">
              <w:rPr>
                <w:sz w:val="18"/>
                <w:szCs w:val="18"/>
              </w:rPr>
              <w:t>stycznych lokalnych zasobów na obszarze LSR (między innymi prz</w:t>
            </w:r>
            <w:r w:rsidRPr="001B7496">
              <w:rPr>
                <w:sz w:val="18"/>
                <w:szCs w:val="18"/>
              </w:rPr>
              <w:t>y</w:t>
            </w:r>
            <w:r w:rsidRPr="001B7496">
              <w:rPr>
                <w:sz w:val="18"/>
                <w:szCs w:val="18"/>
              </w:rPr>
              <w:t>rodniczych, historycznych, kulturowych czy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społecznych) dotychczas nie stosowanych. Innowacyjne może by</w:t>
            </w:r>
            <w:r>
              <w:rPr>
                <w:sz w:val="18"/>
                <w:szCs w:val="18"/>
              </w:rPr>
              <w:t>ć</w:t>
            </w:r>
            <w:r w:rsidRPr="001B7496">
              <w:rPr>
                <w:sz w:val="18"/>
                <w:szCs w:val="18"/>
              </w:rPr>
              <w:t xml:space="preserve"> ich nietypowe, niestanda</w:t>
            </w:r>
            <w:r w:rsidRPr="001B7496">
              <w:rPr>
                <w:sz w:val="18"/>
                <w:szCs w:val="18"/>
              </w:rPr>
              <w:t>r</w:t>
            </w:r>
            <w:r w:rsidRPr="001B7496">
              <w:rPr>
                <w:sz w:val="18"/>
                <w:szCs w:val="18"/>
              </w:rPr>
              <w:t>dowe wykorzystanie czy promocja.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innowacyjność operacji na p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ziomie obszaru LSR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- innowacyjność operacji na p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ziomie gminy członkowskiej LGD miejsca realizacji operacji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innowacyjność operacji na p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ziomie mniejszym niż obszar gminy członkowskiej LGD miejsca realizacji operacji lub brak innowacyjności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B7496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V.4. Zintegrowanie </w:t>
            </w:r>
          </w:p>
          <w:p w:rsidR="001B7496" w:rsidRDefault="001B7496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219E3" w:rsidRPr="006E0157" w:rsidRDefault="001B7496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 zapewniające zintegrowanie podmiotów, zasobów lub celów. Operacja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zapewnia zintegrowanie podmiotów, tj. będzie realizowana przez podmioty z różnych sektorów; jej real</w:t>
            </w:r>
            <w:r w:rsidRPr="001B7496">
              <w:rPr>
                <w:sz w:val="18"/>
                <w:szCs w:val="18"/>
              </w:rPr>
              <w:t>i</w:t>
            </w:r>
            <w:r w:rsidRPr="001B7496">
              <w:rPr>
                <w:sz w:val="18"/>
                <w:szCs w:val="18"/>
              </w:rPr>
              <w:t>zacja zakłada współpracę różnych podmiotów wykonujące cząstk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we zadania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składające się na operację. Operacja zapewnia zintegr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wanie zasobów, tj. zakłada jednoczesne wykorzystanie różnych zasobów lokalnych, specyfiki obszaru, miejsc, obiektów oraz el</w:t>
            </w:r>
            <w:r w:rsidRPr="001B7496">
              <w:rPr>
                <w:sz w:val="18"/>
                <w:szCs w:val="18"/>
              </w:rPr>
              <w:t>e</w:t>
            </w:r>
            <w:r w:rsidRPr="001B7496">
              <w:rPr>
                <w:sz w:val="18"/>
                <w:szCs w:val="18"/>
              </w:rPr>
              <w:t>mentów stanowiących dziedzictwo przyrodnicze, historyczne, kult</w:t>
            </w:r>
            <w:r w:rsidRPr="001B7496">
              <w:rPr>
                <w:sz w:val="18"/>
                <w:szCs w:val="18"/>
              </w:rPr>
              <w:t>u</w:t>
            </w:r>
            <w:r w:rsidRPr="001B7496">
              <w:rPr>
                <w:sz w:val="18"/>
                <w:szCs w:val="18"/>
              </w:rPr>
              <w:t>rowe. Operacja zapewnia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zintegrowanie celów LSR, tj. w ramach operacji realizowane będą cele LSR, które są spójne,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powiązane ze sobą oraz wzajemnie się uzupełniają. Cele LSR planowane do real</w:t>
            </w:r>
            <w:r w:rsidRPr="001B7496">
              <w:rPr>
                <w:sz w:val="18"/>
                <w:szCs w:val="18"/>
              </w:rPr>
              <w:t>i</w:t>
            </w:r>
            <w:r w:rsidRPr="001B7496">
              <w:rPr>
                <w:sz w:val="18"/>
                <w:szCs w:val="18"/>
              </w:rPr>
              <w:t>zacji w ramach operacji będą tworzyć logiczne związki i wzajemnie na siebie oddziaływać.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operacja zapewnia zintegrowanie podmiotów, zasobów lub celów.</w:t>
            </w:r>
          </w:p>
          <w:p w:rsidR="001B7496" w:rsidRPr="001B7496" w:rsidRDefault="001B7496" w:rsidP="001B74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Pr="001B7496">
              <w:rPr>
                <w:sz w:val="18"/>
                <w:szCs w:val="18"/>
              </w:rPr>
              <w:t>operacja nie zapewnia zintegr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wanie podmiotów, zasobów lub celów.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</w:p>
          <w:p w:rsidR="00F323B2" w:rsidRPr="00E340B3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F4D82" w:rsidRPr="003C745A" w:rsidTr="00F323B2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F323B2" w:rsidRDefault="002F4D82" w:rsidP="00F323B2"/>
        </w:tc>
      </w:tr>
      <w:tr w:rsidR="002F4D82" w:rsidRPr="003C745A" w:rsidTr="00F323B2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2F4D82" w:rsidRPr="003C745A" w:rsidTr="00F323B2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D82" w:rsidRPr="003C745A" w:rsidRDefault="002F4D82" w:rsidP="00F323B2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2F4D82" w:rsidRPr="003C745A" w:rsidTr="00F323B2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2F4D82" w:rsidRPr="003C745A" w:rsidTr="00F323B2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  <w:tr w:rsidR="002F4D82" w:rsidRPr="003C745A" w:rsidTr="00F323B2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757AF0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26" w:rsidRDefault="00046D26" w:rsidP="00D815C0">
      <w:pPr>
        <w:spacing w:after="0" w:line="240" w:lineRule="auto"/>
      </w:pPr>
      <w:r>
        <w:separator/>
      </w:r>
    </w:p>
  </w:endnote>
  <w:endnote w:type="continuationSeparator" w:id="1">
    <w:p w:rsidR="00046D26" w:rsidRDefault="00046D26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6403E7" w:rsidRDefault="001543CA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046D26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046D26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046D26" w:rsidRDefault="00046D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6403E7" w:rsidRDefault="001543CA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046D26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2C0F21">
      <w:rPr>
        <w:noProof/>
        <w:sz w:val="18"/>
        <w:szCs w:val="18"/>
      </w:rPr>
      <w:t>14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3C1B05" w:rsidRDefault="001543CA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046D26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2C0F21">
      <w:rPr>
        <w:rFonts w:asciiTheme="minorHAnsi" w:hAnsiTheme="minorHAnsi"/>
        <w:noProof/>
        <w:sz w:val="18"/>
        <w:szCs w:val="18"/>
      </w:rPr>
      <w:t>15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046D26" w:rsidRDefault="00046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26" w:rsidRDefault="00046D26" w:rsidP="00D815C0">
      <w:pPr>
        <w:spacing w:after="0" w:line="240" w:lineRule="auto"/>
      </w:pPr>
      <w:r>
        <w:separator/>
      </w:r>
    </w:p>
  </w:footnote>
  <w:footnote w:type="continuationSeparator" w:id="1">
    <w:p w:rsidR="00046D26" w:rsidRDefault="00046D26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Default="00046D26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757AF0" w:rsidRDefault="00046D26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Default="00046D26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6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3969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1C00"/>
    <w:rsid w:val="000420C3"/>
    <w:rsid w:val="00043D44"/>
    <w:rsid w:val="00043DBE"/>
    <w:rsid w:val="00044BBC"/>
    <w:rsid w:val="00045D75"/>
    <w:rsid w:val="00046D26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2307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49C3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771"/>
    <w:rsid w:val="001509C2"/>
    <w:rsid w:val="001509FF"/>
    <w:rsid w:val="001543CA"/>
    <w:rsid w:val="001545A6"/>
    <w:rsid w:val="00155324"/>
    <w:rsid w:val="001562CF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B7496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0F21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4D82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267B4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C5737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5CEC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0227"/>
    <w:rsid w:val="004A438A"/>
    <w:rsid w:val="004A71ED"/>
    <w:rsid w:val="004A74FB"/>
    <w:rsid w:val="004B157E"/>
    <w:rsid w:val="004B2960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36F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37BA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6ECD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721"/>
    <w:rsid w:val="00EF683B"/>
    <w:rsid w:val="00EF6C4A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"/>
      </w:numPr>
    </w:pPr>
  </w:style>
  <w:style w:type="numbering" w:customStyle="1" w:styleId="Styl52">
    <w:name w:val="Styl52"/>
    <w:rsid w:val="00E90030"/>
    <w:pPr>
      <w:numPr>
        <w:numId w:val="3"/>
      </w:numPr>
    </w:pPr>
  </w:style>
  <w:style w:type="numbering" w:customStyle="1" w:styleId="Styl511">
    <w:name w:val="Styl511"/>
    <w:rsid w:val="00E90030"/>
    <w:pPr>
      <w:numPr>
        <w:numId w:val="4"/>
      </w:numPr>
    </w:pPr>
  </w:style>
  <w:style w:type="numbering" w:customStyle="1" w:styleId="Styl51">
    <w:name w:val="Styl51"/>
    <w:rsid w:val="00E90030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5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6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5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5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6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6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6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6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4160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27841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19</cp:revision>
  <cp:lastPrinted>2018-10-29T11:30:00Z</cp:lastPrinted>
  <dcterms:created xsi:type="dcterms:W3CDTF">2018-10-18T12:44:00Z</dcterms:created>
  <dcterms:modified xsi:type="dcterms:W3CDTF">2019-11-07T13:41:00Z</dcterms:modified>
</cp:coreProperties>
</file>