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2A0406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2A0406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2A0406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2A0406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2A0406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2A0406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2A0406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2A0406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Wydatki w projekcie o wartości nieprzekraczającej wyrażonej w PLN równowartości kwoty 100 000 EUR wkładu p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u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blicznego</w:t>
            </w:r>
            <w:r w:rsidRPr="001C6684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są rozliczane uproszczonymi metodami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>, a wydatki w projekcie o wartości przekraczającej 100 000 EUR wkładu publicznego</w:t>
            </w:r>
            <w:r w:rsidRPr="003458A1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na podstawie rzeczywiście poniesionych wydatków, o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których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Wytycznych w zakresie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kwalifikowalności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wydatków w ramach Europejskiego Funduszu Rozwoju Regionalnego, Europejskiego Funduszu Społecznego oraz Funduszu Spójności na lata 2014-2020.</w:t>
            </w:r>
            <w:r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5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2A0406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2A0406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2A0406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0406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0272D3" w:rsidRPr="000B40FF" w:rsidRDefault="000272D3" w:rsidP="000272D3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687BD0">
        <w:rPr>
          <w:rFonts w:cs="Arial"/>
          <w:b/>
        </w:rPr>
        <w:t>34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 w:rsidR="00687BD0">
        <w:rPr>
          <w:rFonts w:cs="Arial"/>
          <w:b/>
        </w:rPr>
        <w:t>7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657"/>
        <w:gridCol w:w="414"/>
        <w:gridCol w:w="2409"/>
        <w:gridCol w:w="213"/>
        <w:gridCol w:w="1133"/>
        <w:gridCol w:w="150"/>
        <w:gridCol w:w="1645"/>
      </w:tblGrid>
      <w:tr w:rsidR="000272D3" w:rsidRPr="003C745A" w:rsidTr="00A0187A">
        <w:trPr>
          <w:trHeight w:hRule="exact" w:val="56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E46790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0272D3" w:rsidRPr="003C745A" w:rsidTr="00A0187A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3C745A" w:rsidTr="00A0187A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spacing w:after="60" w:line="240" w:lineRule="auto"/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3C745A" w:rsidTr="00A0187A">
        <w:trPr>
          <w:trHeight w:hRule="exact" w:val="384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E84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</w:t>
            </w:r>
            <w:r w:rsidR="00A0187A">
              <w:rPr>
                <w:b/>
                <w:bCs/>
                <w:sz w:val="18"/>
                <w:szCs w:val="18"/>
              </w:rPr>
              <w:t>2</w:t>
            </w:r>
            <w:r w:rsidRPr="00E340B3">
              <w:rPr>
                <w:b/>
                <w:bCs/>
                <w:sz w:val="18"/>
                <w:szCs w:val="18"/>
              </w:rPr>
              <w:t>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0272D3" w:rsidRPr="005A3E68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organ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zacje pozarządowe lub partnerów społec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nych. Projekt realizowany jest w partne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stwie z organizacją pozarządową lub partn</w:t>
            </w:r>
            <w:r w:rsidRPr="00E340B3">
              <w:rPr>
                <w:sz w:val="18"/>
                <w:szCs w:val="18"/>
              </w:rPr>
              <w:t>e</w:t>
            </w:r>
            <w:r w:rsidRPr="00E340B3">
              <w:rPr>
                <w:sz w:val="18"/>
                <w:szCs w:val="18"/>
              </w:rPr>
              <w:t>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nie jest realizowany w partnerstwie z organizacją pozarządową lub partnerem społecznym.</w:t>
            </w:r>
          </w:p>
          <w:p w:rsidR="000272D3" w:rsidRPr="00E340B3" w:rsidRDefault="000272D3" w:rsidP="00823E84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7A" w:rsidRDefault="00A0187A" w:rsidP="00A0187A">
            <w:pPr>
              <w:pStyle w:val="TableParagraph"/>
              <w:ind w:left="92" w:right="86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Wniosek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udzielenie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wsparcia</w:t>
            </w:r>
            <w:r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umowa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czy</w:t>
            </w:r>
            <w:r>
              <w:rPr>
                <w:rFonts w:eastAsia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projektów</w:t>
            </w:r>
            <w:r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realizowanych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zgodnie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zapisami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33</w:t>
            </w:r>
            <w:r>
              <w:rPr>
                <w:rFonts w:eastAsia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ustawy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dnia </w:t>
            </w:r>
            <w:r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lipca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2014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</w:p>
          <w:p w:rsidR="00A0187A" w:rsidRDefault="00A0187A" w:rsidP="00A0187A">
            <w:pPr>
              <w:pStyle w:val="TableParagraph"/>
              <w:ind w:left="92" w:right="8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zasadach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realizacji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programów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zakresie</w:t>
            </w:r>
            <w:r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polityki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spójności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finanso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wanych</w:t>
            </w:r>
            <w:r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perspektywie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finansowej</w:t>
            </w:r>
            <w:r>
              <w:rPr>
                <w:rFonts w:eastAsia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2014–2020</w:t>
            </w:r>
          </w:p>
          <w:p w:rsidR="00A0187A" w:rsidRDefault="00A0187A" w:rsidP="00A0187A">
            <w:pPr>
              <w:pStyle w:val="TableParagraph"/>
              <w:spacing w:before="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A0187A" w:rsidRDefault="00A0187A" w:rsidP="00A0187A">
            <w:pPr>
              <w:pStyle w:val="TableParagraph"/>
              <w:ind w:left="92" w:right="89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Umowa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partnerstwie</w:t>
            </w:r>
            <w:r>
              <w:rPr>
                <w:sz w:val="18"/>
              </w:rPr>
              <w:t xml:space="preserve"> oraz  </w:t>
            </w:r>
            <w:r>
              <w:rPr>
                <w:spacing w:val="-1"/>
                <w:sz w:val="18"/>
              </w:rPr>
              <w:t>opis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sposobu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realizacji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projektu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partnerskiego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i/lub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załącznikach</w:t>
            </w:r>
          </w:p>
          <w:p w:rsidR="000272D3" w:rsidRPr="00E340B3" w:rsidRDefault="00A0187A" w:rsidP="00A0187A">
            <w:pPr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dotyczy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pozostałych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form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partnerstwa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3C745A" w:rsidRDefault="000272D3" w:rsidP="00823E84"/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Default="000272D3" w:rsidP="00823E84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E340B3" w:rsidRDefault="000272D3" w:rsidP="00823E84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E340B3">
              <w:rPr>
                <w:rFonts w:cs="Arial"/>
                <w:b/>
              </w:rPr>
              <w:t>XVII</w:t>
            </w:r>
            <w:r w:rsidR="00A824C0">
              <w:rPr>
                <w:rFonts w:cs="Arial"/>
                <w:b/>
              </w:rPr>
              <w:t>I</w:t>
            </w:r>
            <w:r w:rsidRPr="00E340B3">
              <w:rPr>
                <w:rFonts w:cs="Arial"/>
                <w:b/>
              </w:rPr>
              <w:t xml:space="preserve">. TYP PROJEKTU: </w:t>
            </w:r>
            <w:r w:rsidR="009C4858" w:rsidRPr="006E0157">
              <w:rPr>
                <w:rFonts w:cs="Arial"/>
                <w:b/>
              </w:rPr>
              <w:t>Projekty z zakresu infrastruktury społecznej</w:t>
            </w:r>
          </w:p>
        </w:tc>
      </w:tr>
      <w:tr w:rsidR="000272D3" w:rsidRPr="00613FF7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E340B3" w:rsidTr="00A0187A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06" w:rsidRDefault="000F0306" w:rsidP="000F0306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XVIII.1.  Realizacja operacji komplementarnej  i uzupełniającej do interwencji planowanej do współfinansowania ze środków EFS RPO WP 2014-2020.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Preferuje się operacje realizowane w ramach projektów zintegr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wanych komplementarne  i uzupełniające do projektu planowanego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 finansowania ze środków EFS w ramach RPO WP 2014-2020, tzn. realizującego cele o charakterze społecznym określone w RPOWP 2014-2020: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Podniesienie poziomu aktywności zawodowej oraz zdolności do zatrudnienia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Tworzenie nowych miejsc pracy oraz rozwój przedsiębiorczości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Ułatwienie godzenia życia zawodowego i prywatnego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Podniesienie kwalifikacji, kompetencji i umiejętności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osób pracujących oraz ich dostosowanie do potrzeb regionalnej gospodarki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Przedłużenie wieku aktywności zawodowej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Zapewnienie równego dostępu do wysokiej jakości edukacji przedszkolnej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Wzmocnienie atrakcyjności i podniesienie jakości oferty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edukacyjnej w zakresie kształcenia ogólnego ukierunkowanej na rozwój kompetencji kluczowych 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Poprawa integracji społecznej osób wykluczonym i zagrożonych wykluczeniem społecznym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Poprawa dostępu do wysokiej jakości usług społecznych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B1E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Ułatwienie dostępu do zatrudnienia osób wykluczonych i zagr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żonych wykluczeniem społecznym</w:t>
            </w:r>
          </w:p>
          <w:p w:rsidR="009C4858" w:rsidRPr="00E46790" w:rsidRDefault="000F0306" w:rsidP="009C67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B1E9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Poprawa dobrobytu społeczności lokalnych</w:t>
            </w:r>
            <w:r w:rsidR="009C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poprzez wzmocni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kapitału społecznego i zwiększenie zaang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żowania w rozwój lokalny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trzy  cele o charakterze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dwa  cele o charakterze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72D3" w:rsidRPr="00E46790" w:rsidRDefault="009C4858" w:rsidP="009C4858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 realizuje co najmniej jeden cel o charakterze społecznym określone w RPO WP 2014-2020.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9C4858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Wniosek o udzielenie wsparcia i zapisy w RPOWP 2014-2020, SZ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OP RPOWP 2014-2020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XVIII.2.  Zasięg oddziaływania  projektu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:rsidR="00E46790" w:rsidRPr="00E46790" w:rsidRDefault="00E46790" w:rsidP="009C67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Preferowane są projekty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ramach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których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planowane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jest objęcie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wsparciem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terenu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większego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jedna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gmina, a także obejmującego swoim zasięgiem większą liczbę mieszkańców obszaru LGD.</w:t>
            </w:r>
          </w:p>
          <w:p w:rsidR="000272D3" w:rsidRPr="00E46790" w:rsidRDefault="000272D3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9C678F">
            <w:pPr>
              <w:pStyle w:val="TableParagraph"/>
              <w:ind w:right="3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terenie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więcej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gmin i co najmniej 5000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E46790" w:rsidRPr="00E46790" w:rsidRDefault="00E46790" w:rsidP="009C678F">
            <w:pPr>
              <w:pStyle w:val="TableParagraph"/>
              <w:ind w:right="29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terenie </w:t>
            </w:r>
            <w:r w:rsidRPr="00E467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gmin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 co najmniej 3000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0272D3" w:rsidRPr="00E46790" w:rsidRDefault="00E46790" w:rsidP="009C678F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 działanie na ter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 jednej gminy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9C678F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Opis we wniosku o udzielenie wsparcia,  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LSR  – dane statystyczne dotyczące  gmin członkowskich LGD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E46790" w:rsidRPr="00E340B3" w:rsidTr="00A0187A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XVIII.3.  Stan gotowość technicznej projektu do realizacji. </w:t>
            </w:r>
          </w:p>
          <w:p w:rsidR="00E46790" w:rsidRPr="00E46790" w:rsidRDefault="00E46790" w:rsidP="009C678F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Preferuje się operacje, do których dołączono niezbędne pozwolenia i inne dokumenty już na etapie składania wniosku. Zmniejsza to ryzyko, że Wnioskodawca na dalszym etapie realizacji operacji nie dopełni formalności lub zrezygnuje z realizacji operacji co jest niek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rzystne dla LGD. W przypadku gdy inwestycja nie wymaga zgłosz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nia robót  budowlanych lub pozwolenia na budowę wnioskodawca załącza wniosek wraz z informacją właściwego organu potwierdz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jący fakt niewymagania w/w dokumentów, wówczas wnioskodawca otrzymuje 4 punkty.</w:t>
            </w: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Default="00E46790" w:rsidP="009C67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 </w:t>
            </w:r>
            <w:proofErr w:type="spellStart"/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uzyskano pozwolenie na budowę lub dokonano zgłoszenia robót budo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lanych, w stosunku co do których organ nie wniósł sprzeciwu</w:t>
            </w:r>
            <w:r w:rsidR="00477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;</w:t>
            </w:r>
          </w:p>
          <w:p w:rsidR="00477EA9" w:rsidRPr="00E46790" w:rsidRDefault="00477EA9" w:rsidP="00E46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6790" w:rsidRPr="00E46790" w:rsidRDefault="00E46790" w:rsidP="009C67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- brak wniosku o wydanie pozw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lenia na budowę/zgłoszenia robót b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dowlanych</w:t>
            </w: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  <w:p w:rsidR="00E46790" w:rsidRPr="00E46790" w:rsidRDefault="00E46790" w:rsidP="00823E84">
            <w:pPr>
              <w:pStyle w:val="TableParagraph"/>
              <w:spacing w:after="60"/>
              <w:ind w:right="6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9C67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Wniosek 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 udzielenie wsparcia </w:t>
            </w: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i załączniki do wniosku. 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6790" w:rsidRPr="00E340B3" w:rsidRDefault="00E46790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46790" w:rsidRPr="00E340B3" w:rsidRDefault="00E46790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XVIII.4.  Wkład własny wnioskodawcy w finansowanie projektu.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Preferuje się projekty, w których wnioskodawcy deklarują wkład własny na poziomie wyższym niż minimalny określony w SZOOP RPOWP. Celem jest promowanie projektów angażujących środki inne niż środki Programu. W ramach kryterium oceniana będzie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wielkość zaangażowanych środków własnych wnioskodawcy w ramach wymaganego wkładu własnego w realizację projektu.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9C678F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3 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 o ponad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="00477EA9" w:rsidRP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67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o max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272D3" w:rsidRPr="00E46790" w:rsidRDefault="00E46790" w:rsidP="00E46790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wnioskodawca deklaruje wkład własny na minimalnym wymaganym poziomie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Wniosek o udzielenie wsparcia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3C745A" w:rsidTr="00A0187A">
        <w:trPr>
          <w:trHeight w:hRule="exact" w:val="13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33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0272D3" w:rsidRPr="003C745A" w:rsidTr="00A0187A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D3" w:rsidRPr="003C745A" w:rsidRDefault="000272D3" w:rsidP="00823E84">
            <w:pPr>
              <w:spacing w:before="60" w:after="0" w:line="240" w:lineRule="auto"/>
            </w:pPr>
          </w:p>
        </w:tc>
        <w:tc>
          <w:tcPr>
            <w:tcW w:w="2998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0272D3" w:rsidRPr="003C745A" w:rsidTr="00A0187A">
        <w:trPr>
          <w:trHeight w:hRule="exact" w:val="27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0272D3" w:rsidRPr="003C745A" w:rsidTr="00A0187A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</w:tbl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B57EF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2A0406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9C678F">
      <w:rPr>
        <w:rFonts w:asciiTheme="minorHAnsi" w:hAnsiTheme="minorHAnsi"/>
        <w:noProof/>
        <w:sz w:val="18"/>
        <w:szCs w:val="18"/>
      </w:rPr>
      <w:t>7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284" w:hanging="284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 w:cs="Arial"/>
          <w:sz w:val="18"/>
          <w:szCs w:val="18"/>
        </w:rPr>
        <w:t>Do przeliczenia ww. kwoty na PLN należy stosować miesięczny obrachunkowy kurs wymiany stosowany przez KE aktualny na dzień ogłoszenia naboru.</w:t>
      </w:r>
    </w:p>
  </w:footnote>
  <w:footnote w:id="3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5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0306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0406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4AF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13624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2505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78F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24C0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1E99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68AF-8936-4700-B535-6D590005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4294855133</TotalTime>
  <Pages>8</Pages>
  <Words>2183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16105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12</cp:revision>
  <cp:lastPrinted>2017-12-18T11:07:00Z</cp:lastPrinted>
  <dcterms:created xsi:type="dcterms:W3CDTF">2018-01-24T11:43:00Z</dcterms:created>
  <dcterms:modified xsi:type="dcterms:W3CDTF">2019-03-21T11:03:00Z</dcterms:modified>
</cp:coreProperties>
</file>