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="004B296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0823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/2019</w:t>
      </w:r>
      <w:r w:rsidR="00082307">
        <w:rPr>
          <w:rFonts w:ascii="Times New Roman" w:hAnsi="Times New Roman"/>
          <w:b/>
          <w:sz w:val="24"/>
          <w:szCs w:val="24"/>
        </w:rPr>
        <w:t>/PROW</w:t>
      </w:r>
    </w:p>
    <w:p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A429DA" w:rsidRPr="00B93EDB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A429DA" w:rsidRPr="00B93EDB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Załączniki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722E4" w:rsidRPr="0077720C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722E4" w:rsidRPr="0077720C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A429DA" w:rsidRPr="00B93EDB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:rsidR="00A429DA" w:rsidRPr="005C0AD8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A429DA" w:rsidRPr="005C0AD8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A429DA" w:rsidRPr="005C0AD8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:rsidR="00A429DA" w:rsidRPr="005C0AD8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KACJI OCENY zgodności operacji z LSR.</w:t>
            </w:r>
          </w:p>
        </w:tc>
        <w:tc>
          <w:tcPr>
            <w:tcW w:w="3652" w:type="dxa"/>
            <w:gridSpan w:val="4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:rsidR="00A429DA" w:rsidRPr="005C0AD8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 podmi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:rsidR="00A429DA" w:rsidRPr="005C0AD8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A429DA" w:rsidRPr="005C0AD8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:rsidR="00A429DA" w:rsidRPr="005C0AD8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nia lokalnych kryteriów wyboru operacji</w:t>
            </w:r>
          </w:p>
        </w:tc>
        <w:tc>
          <w:tcPr>
            <w:tcW w:w="3585" w:type="dxa"/>
            <w:gridSpan w:val="2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:rsidR="00A429DA" w:rsidRPr="005C0AD8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29DA" w:rsidRPr="005C0AD8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/>
      </w:tblPr>
      <w:tblGrid>
        <w:gridCol w:w="54"/>
        <w:gridCol w:w="7374"/>
        <w:gridCol w:w="7227"/>
      </w:tblGrid>
      <w:tr w:rsidR="00A429DA" w:rsidRPr="00D4251C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o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darczą, do której stosuje się przepisy ustawy o swobodzie działalności gospodarczej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dotyczy podejmowania działalności gospodarczej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(§ 3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lit.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a–c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zować operację, lecz siedziba znajduje się poza obszarem objętym LSR, a także nie dotyczy powiatów, jeżeli przynajmniej jedna z gmin wchodzących w skład tego 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 przypadku, gdy operacja będzie realizowana w ramach wykonywania działalności gospodarczej w formie spółki cywilnej, każdy wspólnik spółki cywilnej, w zależności od formy prawnej wspólnika, spełnia kryteria określone w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jącymi działalność gospodarczą na obszarze wiejskim objętym LSR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W przypadku gdy operacja w zakresie określonym w § 2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2 lit. c rozporządzenia LSR będzie realizowana w ramach wykonywania działalności gospodarczej w formie spółki cywilnej, warunki określone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3 i 4 powinny być spełnione przez wszystkich wspóln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i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ków tej spółki. Warunek, o którym mowa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jest spełniony, jeżeli każdy ze wspólników spółki cywilnej wykonywał działalność gospodarczą w formie spółki cywilnej lub we własnym imieniu przez okres wskazany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 oraz nadal wykonuje tę działa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l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10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10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mikroprzedsiębiorstwo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albo małe przedsiębiorstwo w 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określonym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ymi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ą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u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będzie realizowana w nie więcej niż w 2 etapach, a wykonanie zakresu rzeczowego, zgodnie z zestawieniem rzeczowo-finansowym operacji, w tym poniesienie przez beneficjenta kosztów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kwalifikowalnych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Wnioskodawca, realizujący operację w zakresie innym niż określony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nem (nie dotyczy operacji  realizowanej wyłącznie w zakresie określonym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w szczególności nie był wpisany do Cen</w:t>
            </w:r>
            <w:r w:rsidR="00550626">
              <w:rPr>
                <w:rFonts w:asciiTheme="minorHAnsi" w:hAnsiTheme="minorHAnsi"/>
                <w:sz w:val="20"/>
                <w:szCs w:val="20"/>
              </w:rPr>
              <w:t xml:space="preserve">tralnej Ewidencji i Informacji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 Działalności Gospodarczej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23683D"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podjęcie we własnym imieniu działalności gospodarczej, do której stosuje się przepisy ustawy o swobodzie działalności gospodarczej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jej wykonywanie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</w:t>
            </w:r>
          </w:p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lastRenderedPageBreak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przez 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batorów, w przypadku gdy operacja będzie realizowana w zakresie określonym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siębiorstwa spożywcze w rozumieniu art. 3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utrzymanie miejsc pracy, w tym miejsc pracy, które zostaną utw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rzone w ramach realizacji operacji, do dnia, w którym upłynie 3 lata od dnia wypłaty płatności końcowej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rozwoju przedsiębiorczości na obszarze wiejskim objętym LSR w zakresie określonym w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podnoszenia kompetencji osób realizujących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ubiega się jednocześnie o przyznanie pomocy na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DA" w:rsidRPr="00D4251C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mioty z obszaru wiejskiego objętego LSR przez zastosowanie wspólnego znaku tow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Operacja nie dotyczy operacji polegających na budowie lub modernizacji targowisk objętych zakresem wsparcia w ramach działania,     o którym mowa w art. 3 ust. 1 </w:t>
            </w:r>
            <w:proofErr w:type="spellStart"/>
            <w:r w:rsidRPr="00A53BC0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A53BC0">
              <w:rPr>
                <w:rFonts w:asciiTheme="minorHAnsi" w:hAnsiTheme="minorHAnsi"/>
                <w:sz w:val="20"/>
                <w:szCs w:val="20"/>
              </w:rPr>
              <w:t xml:space="preserve">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B296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B296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organizacji wydarzeń cyklicznych, z wyjątkiem wydarzenia inicj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u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jącego cykl wydarzeń lub wydarzenia specyficznego dla danej LSR, wskazanych i uz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a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sadnionych w LSR, przy czym przez wydarzenie cykliczne rozumie się wydarzenie 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r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ganizowane więcej niż jeden raz oraz poświęcone przynajmniej w części tej samej 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B2960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Default="00A429DA" w:rsidP="004B2960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…………………………………………………..</w:t>
            </w:r>
          </w:p>
          <w:p w:rsidR="001B37F4" w:rsidRDefault="001B37F4" w:rsidP="004B2960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7F4" w:rsidRPr="00A53BC0" w:rsidRDefault="001B37F4" w:rsidP="004B2960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8B0366" w:rsidRDefault="00A429DA" w:rsidP="004B2960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:rsidR="00A429DA" w:rsidRPr="008B0366" w:rsidRDefault="00A429DA" w:rsidP="004B2960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2 lipca 2004 r. o swobodzie działalności gospodarczej (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Dz.U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2016, poz. 1829,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późn.zm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.)</w:t>
            </w:r>
          </w:p>
          <w:p w:rsidR="00A429DA" w:rsidRPr="008B0366" w:rsidRDefault="00A429DA" w:rsidP="004B2960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Rozporządzenie Ministra Rolnictwa i Rozwoju Wsi z dnia 24 września 2015 r. w sprawie szczegółowych warunków i trybu przyznawania pomocy finansowej w ramach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poddział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a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nia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„Wsparcie na wdrażanie operacji w ramach strategii rozwoju lokalnego kierowanego przez społeczność” objętego Programem Rozwoju Obszarów Wiejskich na lata 2014-2020 (Dz. U. z 2017 r., poz. 772 i 1588)</w:t>
            </w:r>
          </w:p>
          <w:p w:rsidR="00A429DA" w:rsidRPr="008B0366" w:rsidRDefault="00A429DA" w:rsidP="004B2960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8B0366" w:rsidRDefault="00A429DA" w:rsidP="004B2960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A429DA" w:rsidRPr="008B0366" w:rsidRDefault="00A429DA" w:rsidP="004B2960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A429DA" w:rsidRPr="008B0366" w:rsidRDefault="00A429DA" w:rsidP="004B2960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gionalnego, Europejskiego Funduszu Społecznego, Funduszu Spójności, Europejskiego Funduszu Rolnego na rzecz Rozwoju Obszarów Wiejskich oraz Europejskiego Funduszu Mo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A53BC0" w:rsidRDefault="00A429DA" w:rsidP="004B2960">
            <w:pPr>
              <w:spacing w:afterLines="40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go Europejski Urząd ds. Bezpieczeństwa Żywności oraz ustanawiającego procedury w zakresie bezpieczeństwa żywności (Dz. Urz. WE L 31 z 01.02.2002, str. 1,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zm.; Dz. Urz. UE Polskie wydanie  specjalne, rozdz. 15, t. 6, str. 463,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8B0366" w:rsidRDefault="003C5737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F323B2" w:rsidRPr="009C3218" w:rsidRDefault="00F323B2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F323B2" w:rsidRPr="008B0366" w:rsidRDefault="00F323B2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:rsidR="00F323B2" w:rsidRDefault="00F323B2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782"/>
      </w:tblGrid>
      <w:tr w:rsidR="008B0366" w:rsidRPr="0077720C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>
        <w:rPr>
          <w:rFonts w:cs="Arial"/>
          <w:b/>
        </w:rPr>
        <w:t>3</w:t>
      </w:r>
      <w:r w:rsidR="002F4D82">
        <w:rPr>
          <w:rFonts w:cs="Arial"/>
          <w:b/>
        </w:rPr>
        <w:t>6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16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9"/>
        <w:gridCol w:w="3111"/>
        <w:gridCol w:w="323"/>
        <w:gridCol w:w="544"/>
        <w:gridCol w:w="2662"/>
        <w:gridCol w:w="415"/>
        <w:gridCol w:w="2414"/>
        <w:gridCol w:w="1348"/>
        <w:gridCol w:w="1798"/>
      </w:tblGrid>
      <w:tr w:rsidR="00F323B2" w:rsidRPr="003C745A" w:rsidTr="00F323B2">
        <w:trPr>
          <w:trHeight w:hRule="exact" w:val="2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:rsidTr="00F323B2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:rsidTr="00F323B2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 xml:space="preserve">6 </w:t>
            </w:r>
            <w:proofErr w:type="spellStart"/>
            <w:r w:rsidRPr="00F323B2">
              <w:rPr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mentu ogłoszenia o naborze wniosków, nie później niż 3dni robocze przed upływem terminu przyjmowania wniosków</w:t>
            </w:r>
          </w:p>
          <w:p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 xml:space="preserve">0 </w:t>
            </w:r>
            <w:proofErr w:type="spellStart"/>
            <w:r w:rsidRPr="00F323B2">
              <w:rPr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nie korzystał z dorad</w:t>
            </w:r>
            <w:r w:rsidRPr="00F323B2">
              <w:rPr>
                <w:sz w:val="18"/>
                <w:szCs w:val="18"/>
              </w:rPr>
              <w:t>z</w:t>
            </w:r>
            <w:r w:rsidRPr="00F323B2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Dokumentacja LGD  (np. karta doradztwa)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F323B2" w:rsidRDefault="00F323B2" w:rsidP="00F323B2">
            <w:pPr>
              <w:spacing w:after="0" w:line="240" w:lineRule="auto"/>
              <w:jc w:val="center"/>
              <w:rPr>
                <w:rFonts w:cs="Arial"/>
              </w:rPr>
            </w:pPr>
            <w:r w:rsidRPr="006E0157">
              <w:rPr>
                <w:b/>
              </w:rPr>
              <w:t xml:space="preserve">II. Zakres operacji: Podejmowanie działalności gospodarczej </w:t>
            </w:r>
          </w:p>
        </w:tc>
      </w:tr>
      <w:tr w:rsidR="00F323B2" w:rsidRPr="00613FF7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III.1. Wpływ operacji  na poprawę stanu środowiska naturalnego  lub klimatu obszaru LSR</w:t>
            </w:r>
            <w:r w:rsidRPr="006E0157">
              <w:rPr>
                <w:sz w:val="18"/>
                <w:szCs w:val="18"/>
              </w:rPr>
              <w:t xml:space="preserve"> </w:t>
            </w:r>
          </w:p>
          <w:p w:rsidR="002F4D82" w:rsidRDefault="002F4D8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F4D82" w:rsidRPr="009176BB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operacje mające pozytywny wpływ na stan środowiska naturalnego lub klimatu obszaru LSR.</w:t>
            </w:r>
            <w:r>
              <w:rPr>
                <w:sz w:val="18"/>
                <w:szCs w:val="18"/>
              </w:rPr>
              <w:t xml:space="preserve"> </w:t>
            </w:r>
            <w:r w:rsidRPr="006E0157">
              <w:rPr>
                <w:sz w:val="18"/>
                <w:szCs w:val="18"/>
              </w:rPr>
              <w:t>Przez operacje mające poz</w:t>
            </w:r>
            <w:r w:rsidRPr="006E0157">
              <w:rPr>
                <w:sz w:val="18"/>
                <w:szCs w:val="18"/>
              </w:rPr>
              <w:t>y</w:t>
            </w:r>
            <w:r w:rsidRPr="006E0157">
              <w:rPr>
                <w:sz w:val="18"/>
                <w:szCs w:val="18"/>
              </w:rPr>
              <w:t xml:space="preserve">tywny wpływ na stan środowiska naturalnego rozumie się operacje </w:t>
            </w:r>
            <w:r w:rsidRPr="009176BB">
              <w:rPr>
                <w:sz w:val="18"/>
                <w:szCs w:val="18"/>
              </w:rPr>
              <w:t>w ramach których są realizowane zadania:</w:t>
            </w:r>
          </w:p>
          <w:p w:rsidR="002F4D82" w:rsidRPr="009176BB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a) instalacje wykorzystujące odnawialne źródła energii: kolektory słoneczne, ogniwa fotowoltaiczne, pompy ciepła, małe elektrownie wodne, elektrownie wiatrowe,</w:t>
            </w:r>
            <w:r w:rsidRPr="009176BB">
              <w:rPr>
                <w:b/>
                <w:sz w:val="18"/>
                <w:szCs w:val="18"/>
              </w:rPr>
              <w:t xml:space="preserve"> </w:t>
            </w:r>
            <w:r w:rsidRPr="009176BB">
              <w:rPr>
                <w:sz w:val="18"/>
                <w:szCs w:val="18"/>
              </w:rPr>
              <w:t>instalacje grzewcze wykorzystujące gaz, biogaz;</w:t>
            </w:r>
          </w:p>
          <w:p w:rsidR="002F4D82" w:rsidRPr="009176BB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b) przydomowe oczyszczalnie ścieków (w przypadku braku infr</w:t>
            </w:r>
            <w:r w:rsidRPr="009176BB">
              <w:rPr>
                <w:sz w:val="18"/>
                <w:szCs w:val="18"/>
              </w:rPr>
              <w:t>a</w:t>
            </w:r>
            <w:r w:rsidRPr="009176BB">
              <w:rPr>
                <w:sz w:val="18"/>
                <w:szCs w:val="18"/>
              </w:rPr>
              <w:t>struktury komunalnej).</w:t>
            </w:r>
          </w:p>
          <w:p w:rsidR="00F323B2" w:rsidRPr="00E90D56" w:rsidRDefault="002F4D82" w:rsidP="002F4D8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Spełnienie tego kryterium musi znajdować odzwierciedlenie w </w:t>
            </w:r>
            <w:r w:rsidRPr="009176BB">
              <w:rPr>
                <w:sz w:val="18"/>
                <w:szCs w:val="18"/>
              </w:rPr>
              <w:lastRenderedPageBreak/>
              <w:t>zestawieniu rzeczowo-finansowym.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operacja pozytywnie wpływa na poprawę stanu środowiska natu</w:t>
            </w:r>
            <w:r>
              <w:rPr>
                <w:sz w:val="18"/>
                <w:szCs w:val="18"/>
              </w:rPr>
              <w:t>ralnego lub klimatu obszaru LSR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3C745A" w:rsidRDefault="002F4D82" w:rsidP="002F4D82">
            <w:r w:rsidRPr="006E0157">
              <w:rPr>
                <w:sz w:val="18"/>
                <w:szCs w:val="18"/>
              </w:rPr>
              <w:t xml:space="preserve">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  operacja ma neutralny wpływ na poprawę stanu środowiska naturalnego lub klimatu obszaru LSR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  <w:p w:rsidR="00F323B2" w:rsidRPr="003C745A" w:rsidRDefault="002F4D82" w:rsidP="002F4D82">
            <w:r w:rsidRPr="009176BB">
              <w:rPr>
                <w:sz w:val="18"/>
                <w:szCs w:val="18"/>
              </w:rPr>
              <w:t xml:space="preserve">Za spełnienie kryterium uważa się wypełnienie jednego z warunków (a; b) opisanych w kol. </w:t>
            </w:r>
            <w:r>
              <w:rPr>
                <w:sz w:val="18"/>
                <w:szCs w:val="18"/>
              </w:rPr>
              <w:t>1</w:t>
            </w:r>
            <w:r w:rsidRPr="009176BB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3219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lastRenderedPageBreak/>
              <w:t>III.2.  Powstanie dodatk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6E0157">
              <w:rPr>
                <w:b/>
                <w:bCs/>
                <w:sz w:val="18"/>
                <w:szCs w:val="18"/>
              </w:rPr>
              <w:t xml:space="preserve">wych nowych miejsc pracy     </w:t>
            </w:r>
          </w:p>
          <w:p w:rsidR="002F4D82" w:rsidRDefault="002F4D82" w:rsidP="003219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2F4D82" w:rsidRPr="009176BB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9261F">
              <w:rPr>
                <w:sz w:val="18"/>
                <w:szCs w:val="18"/>
              </w:rPr>
              <w:t xml:space="preserve">Preferuje się operacje zakładające tworzenie nowych miejsc pracy w ciągu całego okresu trwałości projektu ponad minimum wymagane dla danego typu operacji </w:t>
            </w:r>
            <w:r w:rsidRPr="009176BB">
              <w:rPr>
                <w:sz w:val="18"/>
                <w:szCs w:val="18"/>
              </w:rPr>
              <w:t>(określone w LSR) wynoszące:</w:t>
            </w:r>
          </w:p>
          <w:p w:rsidR="002F4D82" w:rsidRPr="009176BB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a) 1 etat (w przypadku ubiegania się o pomoc do wysokości</w:t>
            </w:r>
            <w:r>
              <w:rPr>
                <w:sz w:val="18"/>
                <w:szCs w:val="18"/>
              </w:rPr>
              <w:t xml:space="preserve"> 100 tys.</w:t>
            </w:r>
            <w:r w:rsidRPr="009176BB">
              <w:rPr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>),</w:t>
            </w:r>
            <w:r w:rsidRPr="009176BB">
              <w:rPr>
                <w:sz w:val="18"/>
                <w:szCs w:val="18"/>
              </w:rPr>
              <w:t xml:space="preserve"> lub</w:t>
            </w:r>
          </w:p>
          <w:p w:rsidR="003219E3" w:rsidRPr="006E0157" w:rsidRDefault="002F4D82" w:rsidP="002F4D82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b) 2 etaty – w przypadku ubiegania się o pomoc w przedziale 100-200 tys. zł.</w:t>
            </w:r>
            <w:r w:rsidRPr="0039261F">
              <w:rPr>
                <w:sz w:val="18"/>
                <w:szCs w:val="18"/>
              </w:rPr>
              <w:t xml:space="preserve"> Do wyliczeń stosuje się metodę RJR (Rocznych Jednostek Roboczych).</w:t>
            </w:r>
            <w:r w:rsidRPr="006E0157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4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operacja zakłada utworzenie co najmniej 1 etatu pracy średniorocznie ponad wymagane minimum 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2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operacja zakłada utworzenie co najmniej 0,5 etatu pracy średniorocznie ponad wymagane minimum 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1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operacja zakłada utworzenie co najmniej ¼ etatu pracy średniorocznie ponad wymagane minimum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E340B3" w:rsidRDefault="002F4D82" w:rsidP="002F4D82">
            <w:pPr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 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operacja nie zakłada utworzenia nowych miejsc pracy ponad wymagane minimum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2F4D82" w:rsidP="003219E3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F323B2">
            <w:pPr>
              <w:rPr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 xml:space="preserve">III.3.  Zatrudnienie  osoby należącej do grupy </w:t>
            </w:r>
            <w:proofErr w:type="spellStart"/>
            <w:r w:rsidRPr="006E0157">
              <w:rPr>
                <w:b/>
                <w:bCs/>
                <w:sz w:val="18"/>
                <w:szCs w:val="18"/>
              </w:rPr>
              <w:t>defaworyzowanej</w:t>
            </w:r>
            <w:proofErr w:type="spellEnd"/>
            <w:r w:rsidRPr="006E0157">
              <w:rPr>
                <w:sz w:val="18"/>
                <w:szCs w:val="18"/>
              </w:rPr>
              <w:t xml:space="preserve"> 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wnioskodawców deklarujących zatrudnienie osób z obsz</w:t>
            </w:r>
            <w:r w:rsidRPr="006E0157">
              <w:rPr>
                <w:sz w:val="18"/>
                <w:szCs w:val="18"/>
              </w:rPr>
              <w:t>a</w:t>
            </w:r>
            <w:r w:rsidRPr="006E0157">
              <w:rPr>
                <w:sz w:val="18"/>
                <w:szCs w:val="18"/>
              </w:rPr>
              <w:t xml:space="preserve">ru LSR należących do grup </w:t>
            </w:r>
            <w:proofErr w:type="spellStart"/>
            <w:r w:rsidRPr="006E0157">
              <w:rPr>
                <w:sz w:val="18"/>
                <w:szCs w:val="18"/>
              </w:rPr>
              <w:t>defaworyzowanych</w:t>
            </w:r>
            <w:proofErr w:type="spellEnd"/>
            <w:r w:rsidRPr="006E0157">
              <w:rPr>
                <w:sz w:val="18"/>
                <w:szCs w:val="18"/>
              </w:rPr>
              <w:t xml:space="preserve"> ze względu na dostęp do rynku pracy opisanych w LSR:</w:t>
            </w:r>
          </w:p>
          <w:p w:rsidR="002F4D82" w:rsidRPr="006E0157" w:rsidRDefault="002F4D82" w:rsidP="002F4D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długotrwale bezrobotne (zarejestrowane w PUP min</w:t>
            </w:r>
            <w:r w:rsidRPr="006E0157">
              <w:rPr>
                <w:sz w:val="18"/>
                <w:szCs w:val="18"/>
                <w:lang w:eastAsia="pl-PL"/>
              </w:rPr>
              <w:t>i</w:t>
            </w:r>
            <w:r w:rsidRPr="006E0157">
              <w:rPr>
                <w:sz w:val="18"/>
                <w:szCs w:val="18"/>
                <w:lang w:eastAsia="pl-PL"/>
              </w:rPr>
              <w:t>mum 12 miesięcy)</w:t>
            </w:r>
          </w:p>
          <w:p w:rsidR="002F4D82" w:rsidRPr="006E0157" w:rsidRDefault="002F4D82" w:rsidP="002F4D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219"/>
              <w:rPr>
                <w:bCs/>
                <w:sz w:val="18"/>
                <w:szCs w:val="18"/>
              </w:rPr>
            </w:pPr>
            <w:r w:rsidRPr="006E0157">
              <w:rPr>
                <w:bCs/>
                <w:sz w:val="18"/>
                <w:szCs w:val="18"/>
              </w:rPr>
              <w:t>osoby bezrobotne powyżej 50 roku życia</w:t>
            </w:r>
          </w:p>
          <w:p w:rsidR="002F4D82" w:rsidRPr="006E0157" w:rsidRDefault="002F4D82" w:rsidP="002F4D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bezrobotne niepełnosprawne</w:t>
            </w:r>
          </w:p>
          <w:p w:rsidR="002F4D82" w:rsidRPr="006E0157" w:rsidRDefault="002F4D82" w:rsidP="002F4D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bezrobotne o niskich kwalifikacjach</w:t>
            </w:r>
          </w:p>
          <w:p w:rsidR="002F4D82" w:rsidRDefault="002F4D82" w:rsidP="002F4D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młode bezrobotne do 35 roku życia</w:t>
            </w:r>
          </w:p>
          <w:p w:rsidR="002F4D82" w:rsidRPr="000F489F" w:rsidRDefault="002F4D82" w:rsidP="002F4D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F489F">
              <w:rPr>
                <w:sz w:val="18"/>
                <w:szCs w:val="18"/>
                <w:lang w:eastAsia="pl-PL"/>
              </w:rPr>
              <w:t>bezrobotne kobiety</w:t>
            </w:r>
          </w:p>
          <w:p w:rsidR="002F4D82" w:rsidRDefault="002F4D82" w:rsidP="002F4D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219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  <w:lang w:eastAsia="pl-PL"/>
              </w:rPr>
              <w:t>osoby bierne zawodowo</w:t>
            </w:r>
          </w:p>
          <w:p w:rsidR="003219E3" w:rsidRPr="003219E3" w:rsidRDefault="003219E3" w:rsidP="00F323B2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10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–wnioskodawca zadeklarował zatrudnienie co najmniej na poziomie 1 etatu średniorocznego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wnioskodawca nie zadeklarował zatrudnienia</w:t>
            </w:r>
          </w:p>
          <w:p w:rsidR="00F323B2" w:rsidRPr="00E340B3" w:rsidRDefault="00F323B2" w:rsidP="003219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Pr="009176BB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Wniosek o przyznanie pomocy, oświadczenie beneficjenta.</w:t>
            </w:r>
          </w:p>
          <w:p w:rsidR="00F323B2" w:rsidRPr="00E340B3" w:rsidRDefault="002F4D82" w:rsidP="002F4D82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Kryterium uważa się za spełnione gdy wnioskodawca zatrudni osobę należącą co najmniej do jednej z grup </w:t>
            </w:r>
            <w:proofErr w:type="spellStart"/>
            <w:r w:rsidRPr="006E0157">
              <w:rPr>
                <w:sz w:val="18"/>
                <w:szCs w:val="18"/>
              </w:rPr>
              <w:t>defaworyzowanych</w:t>
            </w:r>
            <w:proofErr w:type="spellEnd"/>
            <w:r w:rsidRPr="006E0157">
              <w:rPr>
                <w:sz w:val="18"/>
                <w:szCs w:val="18"/>
              </w:rPr>
              <w:t xml:space="preserve"> (</w:t>
            </w:r>
            <w:proofErr w:type="spellStart"/>
            <w:r w:rsidRPr="006E0157">
              <w:rPr>
                <w:sz w:val="18"/>
                <w:szCs w:val="18"/>
              </w:rPr>
              <w:t>a,b,c,d,e,f</w:t>
            </w:r>
            <w:r>
              <w:rPr>
                <w:sz w:val="18"/>
                <w:szCs w:val="18"/>
              </w:rPr>
              <w:t>,g</w:t>
            </w:r>
            <w:proofErr w:type="spellEnd"/>
            <w:r w:rsidRPr="006E01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3219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III.4. Wkład własny wnioskodawcy w finansowanie projektu</w:t>
            </w:r>
            <w:r w:rsidRPr="009176BB">
              <w:rPr>
                <w:sz w:val="18"/>
                <w:szCs w:val="18"/>
              </w:rPr>
              <w:t xml:space="preserve"> </w:t>
            </w:r>
          </w:p>
          <w:p w:rsidR="002F4D82" w:rsidRDefault="002F4D82" w:rsidP="003219E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3219E3" w:rsidRPr="006E0157" w:rsidRDefault="002F4D82" w:rsidP="003219E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projekty, w których wkład własny wnioskodawcy prz</w:t>
            </w:r>
            <w:r w:rsidRPr="006E0157">
              <w:rPr>
                <w:sz w:val="18"/>
                <w:szCs w:val="18"/>
              </w:rPr>
              <w:t>e</w:t>
            </w:r>
            <w:r w:rsidRPr="006E0157">
              <w:rPr>
                <w:sz w:val="18"/>
                <w:szCs w:val="18"/>
              </w:rPr>
              <w:t>kracza intensywność pomocy określoną w Programie. Celem jest promowanie projektów angażujących środki inne niż środki Progr</w:t>
            </w:r>
            <w:r w:rsidRPr="006E0157">
              <w:rPr>
                <w:sz w:val="18"/>
                <w:szCs w:val="18"/>
              </w:rPr>
              <w:t>a</w:t>
            </w:r>
            <w:r w:rsidRPr="006E0157">
              <w:rPr>
                <w:sz w:val="18"/>
                <w:szCs w:val="18"/>
              </w:rPr>
              <w:t>mu. W ramach kryterium oceniana będzie wielkość zaangażowanych środków własnych wnioskodawcy w realizację projektu.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4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wkład własny jest wyższy od wymaganego wkładu minimalnego ponad 5%  (ponad 35% </w:t>
            </w:r>
            <w:proofErr w:type="spellStart"/>
            <w:r w:rsidRPr="006E0157">
              <w:rPr>
                <w:sz w:val="18"/>
                <w:szCs w:val="18"/>
              </w:rPr>
              <w:t>wkł</w:t>
            </w:r>
            <w:proofErr w:type="spellEnd"/>
            <w:r w:rsidRPr="006E0157">
              <w:rPr>
                <w:sz w:val="18"/>
                <w:szCs w:val="18"/>
              </w:rPr>
              <w:t>. wł.)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2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wkład własny jest wyższy od wymaganego wkładu minimalnego do 5% (do 35% włącznie </w:t>
            </w:r>
            <w:proofErr w:type="spellStart"/>
            <w:r w:rsidRPr="006E0157">
              <w:rPr>
                <w:sz w:val="18"/>
                <w:szCs w:val="18"/>
              </w:rPr>
              <w:t>wkł</w:t>
            </w:r>
            <w:proofErr w:type="spellEnd"/>
            <w:r w:rsidRPr="006E0157">
              <w:rPr>
                <w:sz w:val="18"/>
                <w:szCs w:val="18"/>
              </w:rPr>
              <w:t>. wł.)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F323B2" w:rsidRPr="00E340B3" w:rsidRDefault="002F4D82" w:rsidP="002F4D82">
            <w:pPr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wkład własny wnioskodawcy jest równy minimalnemu wymaganemu w </w:t>
            </w:r>
            <w:r w:rsidRPr="006E0157">
              <w:rPr>
                <w:sz w:val="18"/>
                <w:szCs w:val="18"/>
              </w:rPr>
              <w:lastRenderedPageBreak/>
              <w:t xml:space="preserve">ramach przedsięwzięcia (30% </w:t>
            </w:r>
            <w:proofErr w:type="spellStart"/>
            <w:r w:rsidRPr="006E0157">
              <w:rPr>
                <w:sz w:val="18"/>
                <w:szCs w:val="18"/>
              </w:rPr>
              <w:t>wkł</w:t>
            </w:r>
            <w:proofErr w:type="spellEnd"/>
            <w:r w:rsidRPr="006E0157">
              <w:rPr>
                <w:sz w:val="18"/>
                <w:szCs w:val="18"/>
              </w:rPr>
              <w:t>. wł.)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2F4D82" w:rsidP="00F323B2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lastRenderedPageBreak/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Pr="009176BB" w:rsidRDefault="002F4D82" w:rsidP="002F4D82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9176BB">
              <w:rPr>
                <w:b/>
                <w:sz w:val="18"/>
                <w:szCs w:val="18"/>
              </w:rPr>
              <w:lastRenderedPageBreak/>
              <w:t>III.5. Siedziba firmy znajduje się na obszarze wiejskim objętym LSR (w przypadku osób prawnych) /</w:t>
            </w:r>
          </w:p>
          <w:p w:rsidR="002F4D82" w:rsidRDefault="002F4D82" w:rsidP="002F4D82">
            <w:pPr>
              <w:rPr>
                <w:b/>
                <w:sz w:val="18"/>
                <w:szCs w:val="18"/>
              </w:rPr>
            </w:pPr>
            <w:r w:rsidRPr="009176BB">
              <w:rPr>
                <w:b/>
                <w:sz w:val="18"/>
                <w:szCs w:val="18"/>
              </w:rPr>
              <w:t xml:space="preserve">Miejsce oznaczone adresem, wpisanym do </w:t>
            </w:r>
            <w:proofErr w:type="spellStart"/>
            <w:r w:rsidRPr="009176BB">
              <w:rPr>
                <w:b/>
                <w:sz w:val="18"/>
                <w:szCs w:val="18"/>
              </w:rPr>
              <w:t>CEiDG</w:t>
            </w:r>
            <w:proofErr w:type="spellEnd"/>
            <w:r w:rsidRPr="009176BB">
              <w:rPr>
                <w:b/>
                <w:sz w:val="18"/>
                <w:szCs w:val="18"/>
              </w:rPr>
              <w:t>, pod którym osoba fizyczna wykonuje działalność znajduje się na obszarze wiejskim objętym LSR</w:t>
            </w:r>
          </w:p>
          <w:p w:rsidR="002F4D82" w:rsidRPr="009176BB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W przypadku osób prawnych: preferuje się wnioskodawców których siedziba, wpisana w KRS, mieści się na obszarze wiejskim LSR co najmniej na 12 miesięcy przed dniem złożenia wniosku o przyznanie pomocy/ </w:t>
            </w:r>
          </w:p>
          <w:p w:rsidR="003219E3" w:rsidRPr="006E0157" w:rsidRDefault="002F4D82" w:rsidP="002F4D82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W przypadku osób fizycznych prowadzących działalność gospoda</w:t>
            </w:r>
            <w:r w:rsidRPr="009176BB">
              <w:rPr>
                <w:sz w:val="18"/>
                <w:szCs w:val="18"/>
              </w:rPr>
              <w:t>r</w:t>
            </w:r>
            <w:r w:rsidRPr="009176BB">
              <w:rPr>
                <w:sz w:val="18"/>
                <w:szCs w:val="18"/>
              </w:rPr>
              <w:t>czą: preferuje się wnioskodawców których miejsce oznaczone adr</w:t>
            </w:r>
            <w:r w:rsidRPr="009176BB">
              <w:rPr>
                <w:sz w:val="18"/>
                <w:szCs w:val="18"/>
              </w:rPr>
              <w:t>e</w:t>
            </w:r>
            <w:r w:rsidRPr="009176BB">
              <w:rPr>
                <w:sz w:val="18"/>
                <w:szCs w:val="18"/>
              </w:rPr>
              <w:t xml:space="preserve">sem pod którym wykonują działalność gospodarczą, wpisanym w </w:t>
            </w:r>
            <w:proofErr w:type="spellStart"/>
            <w:r w:rsidRPr="009176BB">
              <w:rPr>
                <w:sz w:val="18"/>
                <w:szCs w:val="18"/>
              </w:rPr>
              <w:t>CEiDG</w:t>
            </w:r>
            <w:proofErr w:type="spellEnd"/>
            <w:r w:rsidRPr="009176BB">
              <w:rPr>
                <w:sz w:val="18"/>
                <w:szCs w:val="18"/>
              </w:rPr>
              <w:t>,  znajduje się na obszarze wiejskim objętym LSR co najmniej 12 miesięcy przed dniem złożenia wniosku o przyznanie pomocy. W przypadku ubiegania się o przyznanie pomocy przez spółkę cywilną, warunek ten muszą spełniać wszyscy wspólnicy spółki cywilnej.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4 </w:t>
            </w:r>
            <w:proofErr w:type="spellStart"/>
            <w:r w:rsidRPr="009176BB">
              <w:rPr>
                <w:sz w:val="18"/>
                <w:szCs w:val="18"/>
              </w:rPr>
              <w:t>pkt</w:t>
            </w:r>
            <w:proofErr w:type="spellEnd"/>
            <w:r w:rsidRPr="009176BB">
              <w:rPr>
                <w:sz w:val="18"/>
                <w:szCs w:val="18"/>
              </w:rPr>
              <w:t xml:space="preserve">- siedziba podmiotu, wpisana do KRS, </w:t>
            </w:r>
            <w:r>
              <w:rPr>
                <w:sz w:val="18"/>
                <w:szCs w:val="18"/>
              </w:rPr>
              <w:t>mieści się na obszarze wiejskim LSR</w:t>
            </w:r>
            <w:r w:rsidRPr="009176BB">
              <w:rPr>
                <w:sz w:val="18"/>
                <w:szCs w:val="18"/>
              </w:rPr>
              <w:t xml:space="preserve"> co najmniej na 12 miesięcy przed dniem złożenia wniosku o przyznanie pomocy/ Miejsce oznaczone adresem, wpisanym do </w:t>
            </w:r>
            <w:proofErr w:type="spellStart"/>
            <w:r w:rsidRPr="009176BB">
              <w:rPr>
                <w:sz w:val="18"/>
                <w:szCs w:val="18"/>
              </w:rPr>
              <w:t>CEiDG</w:t>
            </w:r>
            <w:proofErr w:type="spellEnd"/>
            <w:r w:rsidRPr="009176BB">
              <w:rPr>
                <w:sz w:val="18"/>
                <w:szCs w:val="18"/>
              </w:rPr>
              <w:t>, pod którym osoba fizyczna wykonuje działalność znajduje się na obszarze wiejskim objętym LSR co na</w:t>
            </w:r>
            <w:r w:rsidRPr="009176BB">
              <w:rPr>
                <w:sz w:val="18"/>
                <w:szCs w:val="18"/>
              </w:rPr>
              <w:t>j</w:t>
            </w:r>
            <w:r w:rsidRPr="009176BB">
              <w:rPr>
                <w:sz w:val="18"/>
                <w:szCs w:val="18"/>
              </w:rPr>
              <w:t>mniej na 12 miesięcy przed dniem zł</w:t>
            </w:r>
            <w:r w:rsidRPr="009176BB">
              <w:rPr>
                <w:sz w:val="18"/>
                <w:szCs w:val="18"/>
              </w:rPr>
              <w:t>o</w:t>
            </w:r>
            <w:r w:rsidRPr="009176BB">
              <w:rPr>
                <w:sz w:val="18"/>
                <w:szCs w:val="18"/>
              </w:rPr>
              <w:t>żenia wniosku o przyznanie pomocy</w:t>
            </w:r>
          </w:p>
          <w:p w:rsidR="002F4D82" w:rsidRPr="009176BB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323B2" w:rsidRPr="00E340B3" w:rsidRDefault="002F4D82" w:rsidP="002F4D82">
            <w:pPr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0 </w:t>
            </w:r>
            <w:proofErr w:type="spellStart"/>
            <w:r w:rsidRPr="009176BB">
              <w:rPr>
                <w:sz w:val="18"/>
                <w:szCs w:val="18"/>
              </w:rPr>
              <w:t>pkt</w:t>
            </w:r>
            <w:proofErr w:type="spellEnd"/>
            <w:r w:rsidRPr="009176BB">
              <w:rPr>
                <w:sz w:val="18"/>
                <w:szCs w:val="18"/>
              </w:rPr>
              <w:t xml:space="preserve"> - siedziba podmiotu, wpisana do KRS, mieści się na obszarze wiejskim LSR krócej niż 12 miesięcy przed dniem złożenia wniosku o przyznanie pomocy/ Miejsce oznaczone adresem, wpisanym do </w:t>
            </w:r>
            <w:proofErr w:type="spellStart"/>
            <w:r w:rsidRPr="009176BB">
              <w:rPr>
                <w:sz w:val="18"/>
                <w:szCs w:val="18"/>
              </w:rPr>
              <w:t>CEiDG</w:t>
            </w:r>
            <w:proofErr w:type="spellEnd"/>
            <w:r w:rsidRPr="009176BB">
              <w:rPr>
                <w:sz w:val="18"/>
                <w:szCs w:val="18"/>
              </w:rPr>
              <w:t>, pod którym osoba fizyczna wykonuje działalność znajduje się na obszarze wiejskim objętym LSR krócej niż 12 miesięcy przed dniem złożenia wniosku o przyznanie pomocy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Pr="00F7402C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>Pełny odpis z KRS lub inne dok</w:t>
            </w:r>
            <w:r w:rsidRPr="00F7402C">
              <w:rPr>
                <w:sz w:val="18"/>
                <w:szCs w:val="18"/>
              </w:rPr>
              <w:t>u</w:t>
            </w:r>
            <w:r w:rsidRPr="00F7402C">
              <w:rPr>
                <w:sz w:val="18"/>
                <w:szCs w:val="18"/>
              </w:rPr>
              <w:t>menty poświadczające zaistniałą okoliczność/</w:t>
            </w:r>
          </w:p>
          <w:p w:rsidR="002F4D82" w:rsidRPr="00F7402C" w:rsidRDefault="002F4D82" w:rsidP="002F4D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>Wydru</w:t>
            </w:r>
            <w:r>
              <w:rPr>
                <w:sz w:val="18"/>
                <w:szCs w:val="18"/>
              </w:rPr>
              <w:t xml:space="preserve">k z </w:t>
            </w:r>
            <w:proofErr w:type="spellStart"/>
            <w:r>
              <w:rPr>
                <w:sz w:val="18"/>
                <w:szCs w:val="18"/>
              </w:rPr>
              <w:t>CEiDG</w:t>
            </w:r>
            <w:proofErr w:type="spellEnd"/>
            <w:r>
              <w:rPr>
                <w:sz w:val="18"/>
                <w:szCs w:val="18"/>
              </w:rPr>
              <w:t xml:space="preserve"> wraz z historią zmian.</w:t>
            </w:r>
          </w:p>
          <w:p w:rsidR="00F323B2" w:rsidRPr="00E340B3" w:rsidRDefault="00F323B2" w:rsidP="00F323B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F4D8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4A52A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E0157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>6</w:t>
            </w:r>
            <w:r w:rsidRPr="006E0157">
              <w:rPr>
                <w:b/>
                <w:sz w:val="18"/>
                <w:szCs w:val="18"/>
              </w:rPr>
              <w:t xml:space="preserve">.  Wysokość wnioskowanej pomocy </w:t>
            </w:r>
          </w:p>
          <w:p w:rsidR="002F4D82" w:rsidRDefault="002F4D82" w:rsidP="004A52A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F4D82" w:rsidRPr="006E0157" w:rsidRDefault="002F4D82" w:rsidP="004A52AE">
            <w:pPr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Preferowane będą operację, których wnioskowana kwota pomocy przekracza 25 tys. Wynika to z faktu, iż jednym ze wskaźników okr</w:t>
            </w:r>
            <w:r w:rsidRPr="006E0157">
              <w:rPr>
                <w:sz w:val="18"/>
                <w:szCs w:val="18"/>
              </w:rPr>
              <w:t>e</w:t>
            </w:r>
            <w:r w:rsidRPr="006E0157">
              <w:rPr>
                <w:sz w:val="18"/>
                <w:szCs w:val="18"/>
              </w:rPr>
              <w:t>ślonych w LSR jest tworzenie nowych miejsc pracy. Natomiast uz</w:t>
            </w:r>
            <w:r w:rsidRPr="006E0157">
              <w:rPr>
                <w:sz w:val="18"/>
                <w:szCs w:val="18"/>
              </w:rPr>
              <w:t>y</w:t>
            </w:r>
            <w:r w:rsidRPr="006E0157">
              <w:rPr>
                <w:sz w:val="18"/>
                <w:szCs w:val="18"/>
              </w:rPr>
              <w:t>skanie pomocy do 25 tys.</w:t>
            </w:r>
            <w:r>
              <w:rPr>
                <w:sz w:val="18"/>
                <w:szCs w:val="18"/>
              </w:rPr>
              <w:t xml:space="preserve"> zł</w:t>
            </w:r>
            <w:r w:rsidRPr="006E0157">
              <w:rPr>
                <w:sz w:val="18"/>
                <w:szCs w:val="18"/>
              </w:rPr>
              <w:t xml:space="preserve"> nie wymaga tworzenia nowych miejsc pracy.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6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wysokość wnioskowanej pomocy przekracza 25 tys.</w:t>
            </w:r>
          </w:p>
          <w:p w:rsidR="002F4D82" w:rsidRPr="006E0157" w:rsidRDefault="002F4D82" w:rsidP="002F4D82">
            <w:pPr>
              <w:spacing w:after="0" w:line="240" w:lineRule="auto"/>
              <w:rPr>
                <w:sz w:val="18"/>
                <w:szCs w:val="18"/>
              </w:rPr>
            </w:pPr>
          </w:p>
          <w:p w:rsidR="002F4D82" w:rsidRPr="00E340B3" w:rsidRDefault="002F4D82" w:rsidP="002F4D82">
            <w:pPr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– wysokość wnios</w:t>
            </w:r>
            <w:r>
              <w:rPr>
                <w:sz w:val="18"/>
                <w:szCs w:val="18"/>
              </w:rPr>
              <w:t>kowanej pomocy wynosi do 25 tys.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Pr="00E340B3" w:rsidRDefault="002F4D82" w:rsidP="004A52AE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82" w:rsidRPr="00E340B3" w:rsidRDefault="002F4D8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4D82" w:rsidRPr="00E340B3" w:rsidRDefault="002F4D8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F4D82" w:rsidRPr="003C745A" w:rsidTr="00F323B2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F323B2" w:rsidRDefault="002F4D82" w:rsidP="00F323B2"/>
        </w:tc>
      </w:tr>
      <w:tr w:rsidR="002F4D82" w:rsidRPr="003C745A" w:rsidTr="00F323B2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2F4D82" w:rsidRPr="003C745A" w:rsidTr="00F323B2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D82" w:rsidRPr="003C745A" w:rsidRDefault="002F4D82" w:rsidP="00F323B2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2F4D82" w:rsidRPr="003C745A" w:rsidTr="00F323B2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2F4D82" w:rsidRPr="003C745A" w:rsidTr="00F323B2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  <w:tr w:rsidR="002F4D82" w:rsidRPr="003C745A" w:rsidTr="00F323B2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</w:tbl>
    <w:p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757AF0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B2" w:rsidRDefault="00F323B2" w:rsidP="00D815C0">
      <w:pPr>
        <w:spacing w:after="0" w:line="240" w:lineRule="auto"/>
      </w:pPr>
      <w:r>
        <w:separator/>
      </w:r>
    </w:p>
  </w:endnote>
  <w:endnote w:type="continuationSeparator" w:id="1">
    <w:p w:rsidR="00F323B2" w:rsidRDefault="00F323B2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2" w:rsidRPr="006403E7" w:rsidRDefault="003C5737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F323B2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F323B2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:rsidR="00F323B2" w:rsidRDefault="00F323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2" w:rsidRPr="006403E7" w:rsidRDefault="003C5737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F323B2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4B2960">
      <w:rPr>
        <w:noProof/>
        <w:sz w:val="18"/>
        <w:szCs w:val="18"/>
      </w:rPr>
      <w:t>14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2" w:rsidRPr="003C1B05" w:rsidRDefault="003C5737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F323B2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4B2960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F323B2" w:rsidRDefault="00F323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B2" w:rsidRDefault="00F323B2" w:rsidP="00D815C0">
      <w:pPr>
        <w:spacing w:after="0" w:line="240" w:lineRule="auto"/>
      </w:pPr>
      <w:r>
        <w:separator/>
      </w:r>
    </w:p>
  </w:footnote>
  <w:footnote w:type="continuationSeparator" w:id="1">
    <w:p w:rsidR="00F323B2" w:rsidRDefault="00F323B2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2" w:rsidRDefault="00F323B2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2" w:rsidRPr="00757AF0" w:rsidRDefault="00F323B2" w:rsidP="00757A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B2" w:rsidRDefault="00F323B2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5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6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 style="mso-position-vertical-relative:line" fillcolor="silver">
      <v:fill color="silver"/>
      <v:stroke weight=".58pt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1C00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2307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4D82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267B4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C5737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0227"/>
    <w:rsid w:val="004A438A"/>
    <w:rsid w:val="004A71ED"/>
    <w:rsid w:val="004A74FB"/>
    <w:rsid w:val="004B157E"/>
    <w:rsid w:val="004B2960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6ECD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"/>
      </w:numPr>
    </w:pPr>
  </w:style>
  <w:style w:type="numbering" w:customStyle="1" w:styleId="Styl52">
    <w:name w:val="Styl52"/>
    <w:rsid w:val="00E90030"/>
    <w:pPr>
      <w:numPr>
        <w:numId w:val="3"/>
      </w:numPr>
    </w:pPr>
  </w:style>
  <w:style w:type="numbering" w:customStyle="1" w:styleId="Styl511">
    <w:name w:val="Styl511"/>
    <w:rsid w:val="00E90030"/>
    <w:pPr>
      <w:numPr>
        <w:numId w:val="4"/>
      </w:numPr>
    </w:pPr>
  </w:style>
  <w:style w:type="numbering" w:customStyle="1" w:styleId="Styl51">
    <w:name w:val="Styl51"/>
    <w:rsid w:val="00E90030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5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6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5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5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6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6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6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6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4357</Words>
  <Characters>26147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30444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</cp:lastModifiedBy>
  <cp:revision>14</cp:revision>
  <cp:lastPrinted>2018-10-29T11:30:00Z</cp:lastPrinted>
  <dcterms:created xsi:type="dcterms:W3CDTF">2018-10-18T12:44:00Z</dcterms:created>
  <dcterms:modified xsi:type="dcterms:W3CDTF">2019-02-27T08:20:00Z</dcterms:modified>
</cp:coreProperties>
</file>