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4C5BA1">
        <w:rPr>
          <w:rFonts w:eastAsia="Cambria" w:cstheme="minorHAnsi"/>
          <w:b/>
          <w:bCs/>
          <w:spacing w:val="-1"/>
          <w:sz w:val="24"/>
          <w:szCs w:val="24"/>
        </w:rPr>
        <w:t>2</w:t>
      </w:r>
      <w:r w:rsidR="000B3D5D">
        <w:rPr>
          <w:rFonts w:eastAsia="Cambria" w:cstheme="minorHAnsi"/>
          <w:b/>
          <w:bCs/>
          <w:spacing w:val="-1"/>
          <w:sz w:val="24"/>
          <w:szCs w:val="24"/>
        </w:rPr>
        <w:t>2</w:t>
      </w:r>
      <w:r w:rsidRPr="00094532">
        <w:rPr>
          <w:rFonts w:eastAsia="Cambria" w:cstheme="minorHAnsi"/>
          <w:b/>
          <w:bCs/>
          <w:spacing w:val="1"/>
          <w:sz w:val="24"/>
          <w:szCs w:val="24"/>
        </w:rPr>
        <w:t>/</w:t>
      </w:r>
      <w:r w:rsidRPr="00094532">
        <w:rPr>
          <w:rFonts w:eastAsia="Cambria" w:cstheme="minorHAnsi"/>
          <w:b/>
          <w:bCs/>
          <w:spacing w:val="-1"/>
          <w:sz w:val="24"/>
          <w:szCs w:val="24"/>
        </w:rPr>
        <w:t>2018</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094532" w:rsidRDefault="00AE6465" w:rsidP="00AE6465">
      <w:pPr>
        <w:spacing w:line="241" w:lineRule="auto"/>
        <w:ind w:left="631" w:right="636"/>
        <w:jc w:val="center"/>
        <w:rPr>
          <w:rFonts w:eastAsia="Cambria" w:cstheme="minorHAnsi"/>
          <w:sz w:val="24"/>
          <w:szCs w:val="24"/>
        </w:rPr>
      </w:pPr>
      <w:r w:rsidRPr="00094532">
        <w:rPr>
          <w:rFonts w:eastAsia="Cambria" w:cstheme="minorHAnsi"/>
          <w:sz w:val="24"/>
          <w:szCs w:val="24"/>
        </w:rPr>
        <w:t>PRZEDSIĘWZ</w:t>
      </w:r>
      <w:r w:rsidRPr="00094532">
        <w:rPr>
          <w:rFonts w:eastAsia="Cambria" w:cstheme="minorHAnsi"/>
          <w:spacing w:val="-1"/>
          <w:sz w:val="24"/>
          <w:szCs w:val="24"/>
        </w:rPr>
        <w:t>I</w:t>
      </w:r>
      <w:r w:rsidRPr="00094532">
        <w:rPr>
          <w:rFonts w:eastAsia="Cambria" w:cstheme="minorHAnsi"/>
          <w:sz w:val="24"/>
          <w:szCs w:val="24"/>
        </w:rPr>
        <w:t>Ę</w:t>
      </w:r>
      <w:r w:rsidRPr="00094532">
        <w:rPr>
          <w:rFonts w:eastAsia="Cambria" w:cstheme="minorHAnsi"/>
          <w:spacing w:val="-1"/>
          <w:sz w:val="24"/>
          <w:szCs w:val="24"/>
        </w:rPr>
        <w:t>CI</w:t>
      </w:r>
      <w:r w:rsidRPr="00094532">
        <w:rPr>
          <w:rFonts w:eastAsia="Cambria" w:cstheme="minorHAnsi"/>
          <w:sz w:val="24"/>
          <w:szCs w:val="24"/>
        </w:rPr>
        <w:t xml:space="preserve">E </w:t>
      </w:r>
      <w:r w:rsidRPr="00094532">
        <w:rPr>
          <w:rFonts w:eastAsia="Cambria" w:cstheme="minorHAnsi"/>
          <w:b/>
          <w:bCs/>
          <w:sz w:val="24"/>
          <w:szCs w:val="24"/>
        </w:rPr>
        <w:t>I.</w:t>
      </w:r>
      <w:r w:rsidRPr="00094532">
        <w:rPr>
          <w:rFonts w:eastAsia="Cambria" w:cstheme="minorHAnsi"/>
          <w:b/>
          <w:bCs/>
          <w:spacing w:val="-1"/>
          <w:sz w:val="24"/>
          <w:szCs w:val="24"/>
        </w:rPr>
        <w:t>2</w:t>
      </w:r>
      <w:r w:rsidRPr="00094532">
        <w:rPr>
          <w:rFonts w:eastAsia="Cambria" w:cstheme="minorHAnsi"/>
          <w:b/>
          <w:bCs/>
          <w:sz w:val="24"/>
          <w:szCs w:val="24"/>
        </w:rPr>
        <w:t>.</w:t>
      </w:r>
      <w:r w:rsidR="0002426F">
        <w:rPr>
          <w:rFonts w:eastAsia="Cambria" w:cstheme="minorHAnsi"/>
          <w:b/>
          <w:bCs/>
          <w:spacing w:val="-1"/>
          <w:sz w:val="24"/>
          <w:szCs w:val="24"/>
        </w:rPr>
        <w:t>1</w:t>
      </w:r>
      <w:r w:rsidRPr="00094532">
        <w:rPr>
          <w:rFonts w:eastAsia="Cambria" w:cstheme="minorHAnsi"/>
          <w:b/>
          <w:bCs/>
          <w:sz w:val="24"/>
          <w:szCs w:val="24"/>
        </w:rPr>
        <w:t>.</w:t>
      </w:r>
      <w:r w:rsidRPr="00094532">
        <w:rPr>
          <w:rFonts w:eastAsia="Cambria" w:cstheme="minorHAnsi"/>
          <w:b/>
          <w:bCs/>
          <w:spacing w:val="-2"/>
          <w:sz w:val="24"/>
          <w:szCs w:val="24"/>
        </w:rPr>
        <w:t xml:space="preserve"> </w:t>
      </w:r>
      <w:r w:rsidR="0002426F" w:rsidRPr="0002426F">
        <w:rPr>
          <w:rFonts w:ascii="Calibri" w:hAnsi="Calibri"/>
          <w:b/>
          <w:sz w:val="24"/>
          <w:szCs w:val="24"/>
        </w:rPr>
        <w:t>Zapewnienie warunków rozwoju sfery społecznej</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Typ projektu</w:t>
      </w:r>
      <w:r w:rsidR="000B3D5D">
        <w:rPr>
          <w:rFonts w:eastAsiaTheme="minorHAnsi" w:cstheme="minorHAnsi"/>
          <w:sz w:val="24"/>
          <w:szCs w:val="24"/>
          <w:lang w:eastAsia="en-US"/>
        </w:rPr>
        <w:t>:</w:t>
      </w:r>
      <w:r w:rsidRPr="00094532">
        <w:rPr>
          <w:rFonts w:eastAsiaTheme="minorHAnsi" w:cstheme="minorHAnsi"/>
          <w:sz w:val="24"/>
          <w:szCs w:val="24"/>
          <w:lang w:eastAsia="en-US"/>
        </w:rPr>
        <w:t xml:space="preserve"> </w:t>
      </w:r>
      <w:r w:rsidRPr="000B3D5D">
        <w:rPr>
          <w:rFonts w:eastAsiaTheme="minorHAnsi" w:cstheme="minorHAnsi"/>
          <w:b/>
          <w:sz w:val="24"/>
          <w:szCs w:val="24"/>
          <w:lang w:eastAsia="en-US"/>
        </w:rPr>
        <w:t xml:space="preserve">nr </w:t>
      </w:r>
      <w:r w:rsidR="000B3D5D" w:rsidRPr="000B3D5D">
        <w:rPr>
          <w:rFonts w:cs="Calibri"/>
          <w:b/>
          <w:sz w:val="24"/>
          <w:szCs w:val="24"/>
          <w:bdr w:val="none" w:sz="0" w:space="0" w:color="auto" w:frame="1"/>
        </w:rPr>
        <w:t xml:space="preserve">10 </w:t>
      </w:r>
      <w:r w:rsidR="000B3D5D" w:rsidRPr="000B3D5D">
        <w:rPr>
          <w:rFonts w:cstheme="minorHAnsi"/>
          <w:b/>
          <w:sz w:val="24"/>
          <w:szCs w:val="24"/>
        </w:rPr>
        <w:t>Inwestycje w infrastrukturę wychowania przedszkolnego</w:t>
      </w:r>
      <w:r w:rsidR="00F46239" w:rsidRPr="00094532">
        <w:rPr>
          <w:rFonts w:eastAsiaTheme="minorHAnsi" w:cstheme="minorHAnsi"/>
          <w:sz w:val="24"/>
          <w:szCs w:val="24"/>
          <w:lang w:eastAsia="en-US"/>
        </w:rPr>
        <w:t>.</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Pr="00094532" w:rsidRDefault="00DD59B0" w:rsidP="004B2D5A">
      <w:pPr>
        <w:spacing w:after="240" w:line="240" w:lineRule="auto"/>
        <w:ind w:left="720"/>
        <w:jc w:val="both"/>
        <w:rPr>
          <w:rFonts w:cstheme="minorHAnsi"/>
          <w:b/>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Pr="00094532"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D59B0" w:rsidRPr="00094532" w:rsidRDefault="00DD59B0" w:rsidP="004B2D5A">
      <w:pPr>
        <w:spacing w:after="120" w:line="240" w:lineRule="auto"/>
        <w:jc w:val="both"/>
        <w:rPr>
          <w:rFonts w:cstheme="minorHAnsi"/>
          <w:sz w:val="24"/>
          <w:szCs w:val="24"/>
        </w:rPr>
      </w:pPr>
      <w:r w:rsidRPr="00094532">
        <w:rPr>
          <w:rFonts w:cstheme="minorHAnsi"/>
          <w:sz w:val="24"/>
          <w:szCs w:val="24"/>
        </w:rPr>
        <w:t>Nie jest wymagane przygotowanie pełnej analizy finansowej i ekonomicznej projektu, a także obliczanie wskaźników właściwych dla pełnej analizy.</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Przy opracowaniu części finansowej można się posłużyć: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Wytycznymi Ministra Infrastruktury i Rozwoju w zakresie zagadnień związanych z przygotowaniem projektów inwestycyjnych, w tym projektów generujących dochód i projektów hybrydowych na lata 2014-2020,</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Podręcznikiem Analiza kosztów i korzyści projektów inwestycyjnych: Przewodnik AKK (Fundusz Strukturalny, Fundusz Spójności i ISPA) (Komisja Europejska, 1997 r.),</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obowiązującymi przepisami i zasadami rachunkowości,</w:t>
      </w:r>
    </w:p>
    <w:p w:rsidR="00DD59B0" w:rsidRPr="00094532" w:rsidRDefault="00DD59B0" w:rsidP="006A443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ogólnie przyjętymi metodami analiz finansowych i ekonomicznych.</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700CC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lastRenderedPageBreak/>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521362"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model finansowy, zawierający tabele oraz wyliczenia (wersja papierowa oraz wersja elektroniczna w formie aktywnego arkusza kalkulacyjnego np. w formacie .xls).</w:t>
      </w:r>
    </w:p>
    <w:p w:rsidR="00416D82" w:rsidRPr="00094532" w:rsidRDefault="00416D82" w:rsidP="00416D82">
      <w:pPr>
        <w:pStyle w:val="Akapitzlist"/>
        <w:spacing w:after="120" w:line="240" w:lineRule="auto"/>
        <w:jc w:val="both"/>
        <w:rPr>
          <w:rFonts w:cstheme="minorHAnsi"/>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w:t>
      </w:r>
      <w:r w:rsidRPr="00094532">
        <w:rPr>
          <w:rFonts w:cstheme="minorHAnsi"/>
          <w:sz w:val="24"/>
          <w:szCs w:val="24"/>
        </w:rPr>
        <w:lastRenderedPageBreak/>
        <w:t>(jednostka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lastRenderedPageBreak/>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3F72D3">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0B3D5D">
          <w:rPr>
            <w:rFonts w:cstheme="minorHAnsi"/>
            <w:noProof/>
            <w:sz w:val="20"/>
            <w:szCs w:val="20"/>
          </w:rPr>
          <w:t>16</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9E6095" w:rsidRDefault="00F46DCF" w:rsidP="002C7472">
      <w:pPr>
        <w:pStyle w:val="Tekstprzypisudolnego"/>
        <w:jc w:val="both"/>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2C7472">
      <w:pPr>
        <w:pStyle w:val="Tekstprzypisudolnego"/>
        <w:jc w:val="both"/>
      </w:pPr>
      <w:r>
        <w:rPr>
          <w:rStyle w:val="Odwoanieprzypisudolnego"/>
        </w:rPr>
        <w:footnoteRef/>
      </w:r>
      <w:r w:rsidR="002C7472">
        <w:rPr>
          <w:rFonts w:ascii="Times New Roman" w:hAnsi="Times New Roman" w:cs="Times New Roman"/>
        </w:rP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3D5D"/>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2D3"/>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5BA1"/>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851"/>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945B-04E3-4FA4-A39F-555FEFE0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6575</Words>
  <Characters>39453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9</cp:revision>
  <cp:lastPrinted>2017-01-31T08:56:00Z</cp:lastPrinted>
  <dcterms:created xsi:type="dcterms:W3CDTF">2018-04-27T10:34:00Z</dcterms:created>
  <dcterms:modified xsi:type="dcterms:W3CDTF">2018-11-14T10:54:00Z</dcterms:modified>
</cp:coreProperties>
</file>